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DA37" w14:textId="77777777" w:rsidR="00283ADC" w:rsidRDefault="00FF69D1" w:rsidP="00696B70">
      <w:pPr>
        <w:pStyle w:val="Heading1"/>
        <w:spacing w:line="360" w:lineRule="auto"/>
        <w:jc w:val="center"/>
        <w:rPr>
          <w:b/>
        </w:rPr>
      </w:pPr>
      <w:bookmarkStart w:id="0" w:name="_GoBack"/>
      <w:bookmarkEnd w:id="0"/>
      <w:r w:rsidRPr="001B42F6">
        <w:rPr>
          <w:b/>
        </w:rPr>
        <w:t>Policy and Good Pra</w:t>
      </w:r>
      <w:r w:rsidR="001B42F6" w:rsidRPr="001B42F6">
        <w:rPr>
          <w:b/>
        </w:rPr>
        <w:t>ctice Guidelines for Authorship</w:t>
      </w:r>
    </w:p>
    <w:p w14:paraId="78E1EB87" w14:textId="303E5D48" w:rsidR="001B42F6" w:rsidRPr="001B42F6" w:rsidRDefault="001B42F6" w:rsidP="00696B70">
      <w:pPr>
        <w:pStyle w:val="Heading1"/>
        <w:spacing w:line="360" w:lineRule="auto"/>
        <w:jc w:val="center"/>
        <w:rPr>
          <w:b/>
        </w:rPr>
      </w:pPr>
      <w:r>
        <w:rPr>
          <w:b/>
        </w:rPr>
        <w:t xml:space="preserve">PSSRU, </w:t>
      </w:r>
      <w:r w:rsidR="00696B70">
        <w:rPr>
          <w:b/>
        </w:rPr>
        <w:t>Oct</w:t>
      </w:r>
      <w:r w:rsidR="00283ADC">
        <w:rPr>
          <w:b/>
        </w:rPr>
        <w:t xml:space="preserve"> 2019</w:t>
      </w:r>
    </w:p>
    <w:p w14:paraId="4DD65E06" w14:textId="77777777" w:rsidR="001B42F6" w:rsidRPr="001B42F6" w:rsidRDefault="001B42F6" w:rsidP="00696B70">
      <w:pPr>
        <w:pStyle w:val="Heading1"/>
        <w:spacing w:line="360" w:lineRule="auto"/>
      </w:pPr>
      <w:r w:rsidRPr="001B42F6">
        <w:t>Introduction and scope</w:t>
      </w:r>
    </w:p>
    <w:p w14:paraId="33E1E904" w14:textId="77777777" w:rsidR="001B42F6" w:rsidRDefault="001B42F6" w:rsidP="00696B70">
      <w:pPr>
        <w:pStyle w:val="BodyText"/>
        <w:spacing w:before="240" w:line="360" w:lineRule="auto"/>
        <w:ind w:left="102" w:right="119"/>
      </w:pPr>
      <w:r>
        <w:t xml:space="preserve">Research inquiries are frequently collaborative efforts among colleagues of different levels of seniority and from different disciplines. Listing the authors on publications and outputs tells readers ‘who did the work and should ensure that the right people get the credit, and take responsibility, for the research’ (ICMJE). The </w:t>
      </w:r>
      <w:r>
        <w:rPr>
          <w:i/>
        </w:rPr>
        <w:t xml:space="preserve">PSSRU Policy and Good Practice Guidelines on Authorship </w:t>
      </w:r>
      <w:r>
        <w:t>aims to encourage a culture of ethical authorship, provide a framework for sound research practice, help staff comply with their ethical and professional obligations to colleagues (as set out by the University of Kent, by journal editors and learned / professional societies within in our fields), protect individual research staff, and help researchers prevent and resolve any problems or misunderstandings. The policy sets out obligations that PSSRU researchers are expected to uphold and summarises principles of good practice.</w:t>
      </w:r>
    </w:p>
    <w:p w14:paraId="26E256DD" w14:textId="77777777" w:rsidR="00493991" w:rsidRDefault="00493991" w:rsidP="00696B70">
      <w:pPr>
        <w:spacing w:line="360" w:lineRule="auto"/>
      </w:pPr>
    </w:p>
    <w:p w14:paraId="7E597EAD" w14:textId="559880D6" w:rsidR="00A3327F" w:rsidRPr="00557A40" w:rsidRDefault="00A3327F" w:rsidP="00696B70">
      <w:pPr>
        <w:pStyle w:val="Heading1"/>
        <w:spacing w:line="360" w:lineRule="auto"/>
      </w:pPr>
      <w:r w:rsidRPr="00557A40">
        <w:t>Good practice principles for authorship</w:t>
      </w:r>
    </w:p>
    <w:p w14:paraId="2013FB0F" w14:textId="4CD825A7" w:rsidR="00283ADC" w:rsidRPr="007449D0" w:rsidRDefault="00557A40" w:rsidP="00696B70">
      <w:pPr>
        <w:pStyle w:val="BodyText"/>
        <w:spacing w:before="240" w:line="360" w:lineRule="auto"/>
        <w:ind w:left="102"/>
      </w:pPr>
      <w:r w:rsidRPr="007449D0">
        <w:t>This guidance provides a summary of good practice principles concerning authorship agreement, an overview of approaches towards authorship order, examples of contributions that should be included in acknowledgements, the significance of the corresponding author, and procedures for handling disputes. When planning journal outputs, it is important to take into account that individual journals often specify their own authorship criteria, possibly in relation to manuscript integrity (in terms of plagiarism and originality), a maximum number of authors, or a particular protocol, such as the Vancouver Protocol.</w:t>
      </w:r>
      <w:r w:rsidR="00283ADC" w:rsidRPr="007449D0">
        <w:t xml:space="preserve"> However, there are general PSSRU principles that project leads and the research team should follow when discussing authorship on publications:</w:t>
      </w:r>
    </w:p>
    <w:p w14:paraId="696F2355" w14:textId="77777777" w:rsidR="001B42F6" w:rsidRPr="007449D0" w:rsidRDefault="001B42F6" w:rsidP="00696B70">
      <w:pPr>
        <w:spacing w:line="360" w:lineRule="auto"/>
        <w:rPr>
          <w:rFonts w:ascii="Calibri" w:hAnsi="Calibri" w:cs="Calibri"/>
        </w:rPr>
      </w:pPr>
    </w:p>
    <w:p w14:paraId="4D3EAF72" w14:textId="1153D271" w:rsidR="00101016" w:rsidRDefault="00493991" w:rsidP="00696B70">
      <w:pPr>
        <w:pStyle w:val="Default"/>
        <w:numPr>
          <w:ilvl w:val="0"/>
          <w:numId w:val="1"/>
        </w:numPr>
        <w:spacing w:before="120" w:line="360" w:lineRule="auto"/>
        <w:rPr>
          <w:color w:val="auto"/>
          <w:sz w:val="22"/>
          <w:szCs w:val="22"/>
        </w:rPr>
      </w:pPr>
      <w:r w:rsidRPr="007449D0">
        <w:rPr>
          <w:color w:val="auto"/>
          <w:sz w:val="22"/>
          <w:szCs w:val="22"/>
        </w:rPr>
        <w:t xml:space="preserve">Be as inclusive as possible </w:t>
      </w:r>
      <w:r w:rsidR="00101016" w:rsidRPr="007449D0">
        <w:rPr>
          <w:color w:val="auto"/>
          <w:sz w:val="22"/>
          <w:szCs w:val="22"/>
        </w:rPr>
        <w:t xml:space="preserve">and recognise that all researchers have a vested interest in authorship for career development at all stages of their careers. </w:t>
      </w:r>
    </w:p>
    <w:p w14:paraId="57BCEE53" w14:textId="4876E938" w:rsidR="008654CA" w:rsidRPr="008654CA" w:rsidRDefault="008654CA" w:rsidP="00696B70">
      <w:pPr>
        <w:pStyle w:val="ListParagraph"/>
        <w:numPr>
          <w:ilvl w:val="1"/>
          <w:numId w:val="1"/>
        </w:numPr>
        <w:spacing w:before="120" w:line="360" w:lineRule="auto"/>
      </w:pPr>
      <w:r>
        <w:lastRenderedPageBreak/>
        <w:t xml:space="preserve">It should be noted that these principles also apply to lay/research advisors who are part of the research team. These team members should be involved from the outset in any publication discussions to ensure their contribution is acknowledged. </w:t>
      </w:r>
    </w:p>
    <w:p w14:paraId="5621EF3B" w14:textId="240DD869" w:rsidR="007D01A6" w:rsidRPr="007449D0" w:rsidRDefault="007D01A6" w:rsidP="00696B70">
      <w:pPr>
        <w:pStyle w:val="ListParagraph"/>
        <w:widowControl w:val="0"/>
        <w:numPr>
          <w:ilvl w:val="0"/>
          <w:numId w:val="1"/>
        </w:numPr>
        <w:tabs>
          <w:tab w:val="left" w:pos="744"/>
        </w:tabs>
        <w:autoSpaceDE w:val="0"/>
        <w:autoSpaceDN w:val="0"/>
        <w:spacing w:before="120" w:after="0" w:line="360" w:lineRule="auto"/>
        <w:ind w:right="840"/>
        <w:contextualSpacing w:val="0"/>
        <w:rPr>
          <w:rFonts w:ascii="Calibri" w:hAnsi="Calibri" w:cs="Calibri"/>
        </w:rPr>
      </w:pPr>
      <w:r w:rsidRPr="007449D0">
        <w:rPr>
          <w:rFonts w:ascii="Calibri" w:hAnsi="Calibri" w:cs="Calibri"/>
        </w:rPr>
        <w:t>Junior researchers should be given opportunities to be author</w:t>
      </w:r>
      <w:r w:rsidR="00B50E69">
        <w:rPr>
          <w:rFonts w:ascii="Calibri" w:hAnsi="Calibri" w:cs="Calibri"/>
        </w:rPr>
        <w:t>s, and first authors if possible,</w:t>
      </w:r>
      <w:r w:rsidRPr="007449D0">
        <w:rPr>
          <w:rFonts w:ascii="Calibri" w:hAnsi="Calibri" w:cs="Calibri"/>
        </w:rPr>
        <w:t xml:space="preserve"> of work resulting from projects on which they have </w:t>
      </w:r>
      <w:r w:rsidR="00B50E69">
        <w:rPr>
          <w:rFonts w:ascii="Calibri" w:hAnsi="Calibri" w:cs="Calibri"/>
        </w:rPr>
        <w:t>contributed to</w:t>
      </w:r>
      <w:r w:rsidR="00B50E69" w:rsidRPr="007449D0">
        <w:rPr>
          <w:rFonts w:ascii="Calibri" w:hAnsi="Calibri" w:cs="Calibri"/>
        </w:rPr>
        <w:t xml:space="preserve"> </w:t>
      </w:r>
      <w:r w:rsidRPr="007449D0">
        <w:rPr>
          <w:rFonts w:ascii="Calibri" w:hAnsi="Calibri" w:cs="Calibri"/>
        </w:rPr>
        <w:t>substantial</w:t>
      </w:r>
      <w:r w:rsidR="00B50E69">
        <w:rPr>
          <w:rFonts w:ascii="Calibri" w:hAnsi="Calibri" w:cs="Calibri"/>
        </w:rPr>
        <w:t>ly</w:t>
      </w:r>
      <w:r w:rsidRPr="007449D0">
        <w:rPr>
          <w:rFonts w:ascii="Calibri" w:hAnsi="Calibri" w:cs="Calibri"/>
        </w:rPr>
        <w:t>.</w:t>
      </w:r>
    </w:p>
    <w:p w14:paraId="16FC4FFE" w14:textId="7D85E95B" w:rsidR="00493991" w:rsidRPr="007449D0" w:rsidRDefault="00101016" w:rsidP="00696B70">
      <w:pPr>
        <w:pStyle w:val="Default"/>
        <w:numPr>
          <w:ilvl w:val="0"/>
          <w:numId w:val="1"/>
        </w:numPr>
        <w:spacing w:before="120" w:line="360" w:lineRule="auto"/>
        <w:rPr>
          <w:color w:val="auto"/>
          <w:sz w:val="22"/>
          <w:szCs w:val="22"/>
        </w:rPr>
      </w:pPr>
      <w:r w:rsidRPr="007449D0">
        <w:rPr>
          <w:color w:val="auto"/>
          <w:sz w:val="22"/>
          <w:szCs w:val="22"/>
        </w:rPr>
        <w:t>A</w:t>
      </w:r>
      <w:r w:rsidR="00493991" w:rsidRPr="007449D0">
        <w:rPr>
          <w:color w:val="auto"/>
          <w:sz w:val="22"/>
          <w:szCs w:val="22"/>
        </w:rPr>
        <w:t xml:space="preserve">ll authors should have had sufficient input into the research and the publication to be able to defend some of the content. Researchers who cannot defend the publication should not be included as an author but should be included in the acknowledgements. </w:t>
      </w:r>
      <w:r w:rsidR="00DA17C3" w:rsidRPr="007449D0">
        <w:rPr>
          <w:color w:val="auto"/>
          <w:sz w:val="22"/>
          <w:szCs w:val="22"/>
        </w:rPr>
        <w:t xml:space="preserve">We advise against the </w:t>
      </w:r>
      <w:r w:rsidR="00E9518D">
        <w:rPr>
          <w:color w:val="auto"/>
          <w:sz w:val="22"/>
          <w:szCs w:val="22"/>
        </w:rPr>
        <w:t>exclusion</w:t>
      </w:r>
      <w:r w:rsidR="00E9518D" w:rsidRPr="007449D0">
        <w:rPr>
          <w:color w:val="auto"/>
          <w:sz w:val="22"/>
          <w:szCs w:val="22"/>
        </w:rPr>
        <w:t xml:space="preserve"> </w:t>
      </w:r>
      <w:r w:rsidR="00DA17C3" w:rsidRPr="007449D0">
        <w:rPr>
          <w:color w:val="auto"/>
          <w:sz w:val="22"/>
          <w:szCs w:val="22"/>
        </w:rPr>
        <w:t xml:space="preserve">of </w:t>
      </w:r>
      <w:r w:rsidR="00E9518D">
        <w:rPr>
          <w:color w:val="auto"/>
          <w:sz w:val="22"/>
          <w:szCs w:val="22"/>
        </w:rPr>
        <w:t>authors or what</w:t>
      </w:r>
      <w:r w:rsidR="00C27C22">
        <w:rPr>
          <w:color w:val="auto"/>
          <w:sz w:val="22"/>
          <w:szCs w:val="22"/>
        </w:rPr>
        <w:t xml:space="preserve"> is</w:t>
      </w:r>
      <w:r w:rsidR="00E9518D">
        <w:rPr>
          <w:color w:val="auto"/>
          <w:sz w:val="22"/>
          <w:szCs w:val="22"/>
        </w:rPr>
        <w:t xml:space="preserve"> referred to as</w:t>
      </w:r>
      <w:r w:rsidR="00E9518D" w:rsidRPr="007449D0">
        <w:rPr>
          <w:color w:val="auto"/>
          <w:sz w:val="22"/>
          <w:szCs w:val="22"/>
        </w:rPr>
        <w:t xml:space="preserve"> </w:t>
      </w:r>
      <w:r w:rsidR="00DA17C3" w:rsidRPr="007449D0">
        <w:rPr>
          <w:color w:val="auto"/>
          <w:sz w:val="22"/>
          <w:szCs w:val="22"/>
        </w:rPr>
        <w:t>‘ghost authors’</w:t>
      </w:r>
      <w:r w:rsidR="00E9518D">
        <w:rPr>
          <w:color w:val="auto"/>
          <w:sz w:val="22"/>
          <w:szCs w:val="22"/>
        </w:rPr>
        <w:t xml:space="preserve"> </w:t>
      </w:r>
      <w:r w:rsidR="00C27C22">
        <w:rPr>
          <w:color w:val="auto"/>
          <w:sz w:val="22"/>
          <w:szCs w:val="22"/>
        </w:rPr>
        <w:t>–</w:t>
      </w:r>
      <w:r w:rsidR="00E9518D">
        <w:rPr>
          <w:color w:val="auto"/>
          <w:sz w:val="22"/>
          <w:szCs w:val="22"/>
        </w:rPr>
        <w:t xml:space="preserve"> </w:t>
      </w:r>
      <w:r w:rsidR="00DA17C3" w:rsidRPr="007449D0">
        <w:rPr>
          <w:color w:val="auto"/>
          <w:sz w:val="22"/>
          <w:szCs w:val="22"/>
        </w:rPr>
        <w:t xml:space="preserve">authors who contributed significantly to the development and writing of the outputs but their names are not listed </w:t>
      </w:r>
      <w:r w:rsidR="00E9518D">
        <w:rPr>
          <w:color w:val="auto"/>
          <w:sz w:val="22"/>
          <w:szCs w:val="22"/>
        </w:rPr>
        <w:t xml:space="preserve">- </w:t>
      </w:r>
      <w:r w:rsidR="00DA17C3" w:rsidRPr="007449D0">
        <w:rPr>
          <w:color w:val="auto"/>
          <w:sz w:val="22"/>
          <w:szCs w:val="22"/>
        </w:rPr>
        <w:t xml:space="preserve">and </w:t>
      </w:r>
      <w:r w:rsidR="00E9518D">
        <w:rPr>
          <w:color w:val="auto"/>
          <w:sz w:val="22"/>
          <w:szCs w:val="22"/>
        </w:rPr>
        <w:t xml:space="preserve">against the inclusion of any </w:t>
      </w:r>
      <w:r w:rsidR="00DA17C3" w:rsidRPr="007449D0">
        <w:rPr>
          <w:color w:val="auto"/>
          <w:sz w:val="22"/>
          <w:szCs w:val="22"/>
        </w:rPr>
        <w:t>‘guest authors’</w:t>
      </w:r>
      <w:r w:rsidR="00E9518D">
        <w:rPr>
          <w:color w:val="auto"/>
          <w:sz w:val="22"/>
          <w:szCs w:val="22"/>
        </w:rPr>
        <w:t xml:space="preserve"> </w:t>
      </w:r>
      <w:r w:rsidR="00C27C22">
        <w:rPr>
          <w:color w:val="auto"/>
          <w:sz w:val="22"/>
          <w:szCs w:val="22"/>
        </w:rPr>
        <w:t>–</w:t>
      </w:r>
      <w:r w:rsidR="00E9518D">
        <w:rPr>
          <w:color w:val="auto"/>
          <w:sz w:val="22"/>
          <w:szCs w:val="22"/>
        </w:rPr>
        <w:t xml:space="preserve"> </w:t>
      </w:r>
      <w:r w:rsidR="00DA17C3" w:rsidRPr="007449D0">
        <w:rPr>
          <w:color w:val="auto"/>
          <w:sz w:val="22"/>
          <w:szCs w:val="22"/>
        </w:rPr>
        <w:t>those who did not contribute directly to the development and writing of the output but are included in the authorship list.</w:t>
      </w:r>
    </w:p>
    <w:p w14:paraId="51609F15" w14:textId="7C1F5578" w:rsidR="00BF6E63" w:rsidRPr="007449D0" w:rsidRDefault="002F79F9" w:rsidP="00696B70">
      <w:pPr>
        <w:pStyle w:val="ListParagraph"/>
        <w:numPr>
          <w:ilvl w:val="0"/>
          <w:numId w:val="4"/>
        </w:numPr>
        <w:spacing w:before="120" w:after="0" w:line="360" w:lineRule="auto"/>
        <w:rPr>
          <w:rFonts w:ascii="Calibri" w:hAnsi="Calibri" w:cs="Calibri"/>
        </w:rPr>
      </w:pPr>
      <w:r w:rsidRPr="007449D0">
        <w:rPr>
          <w:rFonts w:ascii="Calibri" w:hAnsi="Calibri" w:cs="Calibri"/>
        </w:rPr>
        <w:t>Project leads should ensure that an agreement about their general approach to publications and authorship is discussed at the beginning of the research</w:t>
      </w:r>
      <w:r w:rsidRPr="007449D0">
        <w:rPr>
          <w:rFonts w:ascii="Calibri" w:hAnsi="Calibri" w:cs="Calibri"/>
          <w:spacing w:val="-20"/>
        </w:rPr>
        <w:t xml:space="preserve"> </w:t>
      </w:r>
      <w:r w:rsidRPr="007449D0">
        <w:rPr>
          <w:rFonts w:ascii="Calibri" w:hAnsi="Calibri" w:cs="Calibri"/>
        </w:rPr>
        <w:t xml:space="preserve">project. Although </w:t>
      </w:r>
      <w:r w:rsidR="00E9518D">
        <w:rPr>
          <w:rFonts w:ascii="Calibri" w:hAnsi="Calibri" w:cs="Calibri"/>
        </w:rPr>
        <w:t>matters</w:t>
      </w:r>
      <w:r w:rsidR="00E9518D" w:rsidRPr="007449D0">
        <w:rPr>
          <w:rFonts w:ascii="Calibri" w:hAnsi="Calibri" w:cs="Calibri"/>
        </w:rPr>
        <w:t xml:space="preserve"> </w:t>
      </w:r>
      <w:r w:rsidRPr="007449D0">
        <w:rPr>
          <w:rFonts w:ascii="Calibri" w:hAnsi="Calibri" w:cs="Calibri"/>
        </w:rPr>
        <w:t xml:space="preserve">might change as the project progresses, there should be a </w:t>
      </w:r>
      <w:r w:rsidR="00BF6E63" w:rsidRPr="007449D0">
        <w:rPr>
          <w:rFonts w:ascii="Calibri" w:hAnsi="Calibri" w:cs="Calibri"/>
        </w:rPr>
        <w:t xml:space="preserve">general outline </w:t>
      </w:r>
      <w:r w:rsidRPr="007449D0">
        <w:rPr>
          <w:rFonts w:ascii="Calibri" w:hAnsi="Calibri" w:cs="Calibri"/>
        </w:rPr>
        <w:t xml:space="preserve">of </w:t>
      </w:r>
      <w:r w:rsidR="00E9518D">
        <w:rPr>
          <w:rFonts w:ascii="Calibri" w:hAnsi="Calibri" w:cs="Calibri"/>
        </w:rPr>
        <w:t>a potential publication plan</w:t>
      </w:r>
      <w:r w:rsidRPr="007449D0">
        <w:rPr>
          <w:rFonts w:ascii="Calibri" w:hAnsi="Calibri" w:cs="Calibri"/>
        </w:rPr>
        <w:t xml:space="preserve">. </w:t>
      </w:r>
    </w:p>
    <w:p w14:paraId="13F8C49E" w14:textId="77777777" w:rsidR="007D01A6" w:rsidRPr="007449D0" w:rsidRDefault="007D01A6" w:rsidP="00696B70">
      <w:pPr>
        <w:pStyle w:val="ListParagraph"/>
        <w:numPr>
          <w:ilvl w:val="1"/>
          <w:numId w:val="4"/>
        </w:numPr>
        <w:spacing w:before="120" w:after="0" w:line="360" w:lineRule="auto"/>
        <w:rPr>
          <w:rFonts w:ascii="Calibri" w:hAnsi="Calibri" w:cs="Calibri"/>
        </w:rPr>
      </w:pPr>
      <w:r w:rsidRPr="007449D0">
        <w:rPr>
          <w:rFonts w:ascii="Calibri" w:hAnsi="Calibri" w:cs="Calibri"/>
        </w:rPr>
        <w:t xml:space="preserve">Try to anticipate any issues that might arise as a result of working collaboratively. </w:t>
      </w:r>
    </w:p>
    <w:p w14:paraId="499B8FC7" w14:textId="1E25D449" w:rsidR="007D01A6" w:rsidRDefault="007D01A6" w:rsidP="00696B70">
      <w:pPr>
        <w:pStyle w:val="ListParagraph"/>
        <w:numPr>
          <w:ilvl w:val="1"/>
          <w:numId w:val="4"/>
        </w:numPr>
        <w:spacing w:before="120" w:after="0" w:line="360" w:lineRule="auto"/>
        <w:rPr>
          <w:rFonts w:ascii="Calibri" w:hAnsi="Calibri" w:cs="Calibri"/>
        </w:rPr>
      </w:pPr>
      <w:r w:rsidRPr="007449D0">
        <w:rPr>
          <w:rFonts w:ascii="Calibri" w:hAnsi="Calibri" w:cs="Calibri"/>
        </w:rPr>
        <w:t xml:space="preserve">Try to anticipate any issues that might arise as a result of publishing in journals with specific authorship criteria. </w:t>
      </w:r>
    </w:p>
    <w:p w14:paraId="713B5089" w14:textId="33E5A354" w:rsidR="002F79F9" w:rsidRPr="007449D0" w:rsidRDefault="00BF6E63" w:rsidP="00696B70">
      <w:pPr>
        <w:pStyle w:val="ListParagraph"/>
        <w:widowControl w:val="0"/>
        <w:numPr>
          <w:ilvl w:val="0"/>
          <w:numId w:val="4"/>
        </w:numPr>
        <w:tabs>
          <w:tab w:val="left" w:pos="744"/>
        </w:tabs>
        <w:autoSpaceDE w:val="0"/>
        <w:autoSpaceDN w:val="0"/>
        <w:spacing w:before="120" w:after="0" w:line="360" w:lineRule="auto"/>
        <w:ind w:right="1146"/>
        <w:contextualSpacing w:val="0"/>
        <w:rPr>
          <w:rFonts w:ascii="Calibri" w:hAnsi="Calibri" w:cs="Calibri"/>
        </w:rPr>
      </w:pPr>
      <w:r w:rsidRPr="007449D0">
        <w:rPr>
          <w:rFonts w:ascii="Calibri" w:hAnsi="Calibri" w:cs="Calibri"/>
        </w:rPr>
        <w:t xml:space="preserve">Authorship should always be revisited </w:t>
      </w:r>
      <w:r w:rsidR="00101016" w:rsidRPr="007449D0">
        <w:rPr>
          <w:rFonts w:ascii="Calibri" w:hAnsi="Calibri" w:cs="Calibri"/>
        </w:rPr>
        <w:t>by the project lead</w:t>
      </w:r>
      <w:r w:rsidRPr="007449D0">
        <w:rPr>
          <w:rFonts w:ascii="Calibri" w:hAnsi="Calibri" w:cs="Calibri"/>
        </w:rPr>
        <w:t xml:space="preserve"> when staff membership or responsibilities change within a research team. These could include the introduction of new members of staff</w:t>
      </w:r>
      <w:r w:rsidR="00C11824" w:rsidRPr="007449D0">
        <w:rPr>
          <w:rFonts w:ascii="Calibri" w:hAnsi="Calibri" w:cs="Calibri"/>
        </w:rPr>
        <w:t>,</w:t>
      </w:r>
      <w:r w:rsidRPr="007449D0">
        <w:rPr>
          <w:rFonts w:ascii="Calibri" w:hAnsi="Calibri" w:cs="Calibri"/>
        </w:rPr>
        <w:t xml:space="preserve"> maternity/paternity leave</w:t>
      </w:r>
      <w:r w:rsidR="00C11824" w:rsidRPr="007449D0">
        <w:rPr>
          <w:rFonts w:ascii="Calibri" w:hAnsi="Calibri" w:cs="Calibri"/>
        </w:rPr>
        <w:t xml:space="preserve"> or other kinds of leave</w:t>
      </w:r>
      <w:r w:rsidRPr="007449D0">
        <w:rPr>
          <w:rFonts w:ascii="Calibri" w:hAnsi="Calibri" w:cs="Calibri"/>
        </w:rPr>
        <w:t>. All subsequent</w:t>
      </w:r>
      <w:r w:rsidR="00101016" w:rsidRPr="007449D0">
        <w:rPr>
          <w:rFonts w:ascii="Calibri" w:hAnsi="Calibri" w:cs="Calibri"/>
        </w:rPr>
        <w:t xml:space="preserve"> authorship decisions should be</w:t>
      </w:r>
      <w:r w:rsidRPr="007449D0">
        <w:rPr>
          <w:rFonts w:ascii="Calibri" w:hAnsi="Calibri" w:cs="Calibri"/>
        </w:rPr>
        <w:t xml:space="preserve"> discussed </w:t>
      </w:r>
      <w:r w:rsidR="00101016" w:rsidRPr="007449D0">
        <w:rPr>
          <w:rFonts w:ascii="Calibri" w:hAnsi="Calibri" w:cs="Calibri"/>
        </w:rPr>
        <w:t xml:space="preserve">with the whole team </w:t>
      </w:r>
      <w:r w:rsidRPr="007449D0">
        <w:rPr>
          <w:rFonts w:ascii="Calibri" w:hAnsi="Calibri" w:cs="Calibri"/>
        </w:rPr>
        <w:t>and effectively communicated to all members of the research team.</w:t>
      </w:r>
    </w:p>
    <w:p w14:paraId="320D3F4A" w14:textId="77777777" w:rsidR="0090030F" w:rsidRPr="007449D0" w:rsidRDefault="0090030F" w:rsidP="00696B70">
      <w:pPr>
        <w:pStyle w:val="ListParagraph"/>
        <w:numPr>
          <w:ilvl w:val="1"/>
          <w:numId w:val="4"/>
        </w:numPr>
        <w:spacing w:before="120" w:after="0" w:line="360" w:lineRule="auto"/>
        <w:rPr>
          <w:rFonts w:ascii="Calibri" w:hAnsi="Calibri" w:cs="Calibri"/>
        </w:rPr>
      </w:pPr>
      <w:r w:rsidRPr="007449D0">
        <w:rPr>
          <w:rFonts w:ascii="Calibri" w:hAnsi="Calibri" w:cs="Calibri"/>
        </w:rPr>
        <w:t>Recognise that people’s contributions (smaller or larger) should be proportionately acknowledged even in the presence of long absences (e.g. maternity leave, sick leave, compassionate leave).</w:t>
      </w:r>
    </w:p>
    <w:p w14:paraId="167265BA" w14:textId="0B05685F" w:rsidR="0090030F" w:rsidRPr="007449D0" w:rsidRDefault="0090030F" w:rsidP="00696B70">
      <w:pPr>
        <w:pStyle w:val="ListParagraph"/>
        <w:widowControl w:val="0"/>
        <w:numPr>
          <w:ilvl w:val="1"/>
          <w:numId w:val="4"/>
        </w:numPr>
        <w:tabs>
          <w:tab w:val="left" w:pos="744"/>
        </w:tabs>
        <w:autoSpaceDE w:val="0"/>
        <w:autoSpaceDN w:val="0"/>
        <w:spacing w:before="120" w:after="0" w:line="360" w:lineRule="auto"/>
        <w:ind w:right="246"/>
        <w:contextualSpacing w:val="0"/>
        <w:rPr>
          <w:rFonts w:ascii="Calibri" w:hAnsi="Calibri" w:cs="Calibri"/>
        </w:rPr>
      </w:pPr>
      <w:r w:rsidRPr="007449D0">
        <w:rPr>
          <w:rFonts w:ascii="Calibri" w:hAnsi="Calibri" w:cs="Calibri"/>
        </w:rPr>
        <w:t>These contributions made by members of the research team who are not included as authors should be outlined in the acknowledgements sections of publications, for example, ‘critically reviewed the study proposal’ or ‘collected</w:t>
      </w:r>
      <w:r w:rsidRPr="007449D0">
        <w:rPr>
          <w:rFonts w:ascii="Calibri" w:hAnsi="Calibri" w:cs="Calibri"/>
          <w:spacing w:val="-6"/>
        </w:rPr>
        <w:t xml:space="preserve"> </w:t>
      </w:r>
      <w:r w:rsidRPr="007449D0">
        <w:rPr>
          <w:rFonts w:ascii="Calibri" w:hAnsi="Calibri" w:cs="Calibri"/>
        </w:rPr>
        <w:t>data’.</w:t>
      </w:r>
    </w:p>
    <w:p w14:paraId="71A41C7A" w14:textId="7075D79A" w:rsidR="007D01A6" w:rsidRDefault="007D01A6" w:rsidP="00696B70">
      <w:pPr>
        <w:pStyle w:val="ListParagraph"/>
        <w:numPr>
          <w:ilvl w:val="0"/>
          <w:numId w:val="13"/>
        </w:numPr>
        <w:spacing w:before="120" w:after="0" w:line="360" w:lineRule="auto"/>
        <w:rPr>
          <w:rFonts w:ascii="Calibri" w:hAnsi="Calibri" w:cs="Calibri"/>
          <w:lang w:bidi="en-GB"/>
        </w:rPr>
      </w:pPr>
      <w:r w:rsidRPr="007449D0">
        <w:rPr>
          <w:rFonts w:ascii="Calibri" w:hAnsi="Calibri" w:cs="Calibri"/>
          <w:lang w:bidi="en-GB"/>
        </w:rPr>
        <w:lastRenderedPageBreak/>
        <w:t>Include authors on outputs when they are circulated for drafting, revision, review and comment.</w:t>
      </w:r>
    </w:p>
    <w:p w14:paraId="73DD27F4" w14:textId="704D2BF1" w:rsidR="00374313" w:rsidRPr="007449D0" w:rsidRDefault="00374313" w:rsidP="00696B70">
      <w:pPr>
        <w:pStyle w:val="ListParagraph"/>
        <w:numPr>
          <w:ilvl w:val="0"/>
          <w:numId w:val="13"/>
        </w:numPr>
        <w:spacing w:before="120" w:after="0" w:line="360" w:lineRule="auto"/>
        <w:rPr>
          <w:rFonts w:ascii="Calibri" w:hAnsi="Calibri" w:cs="Calibri"/>
          <w:lang w:bidi="en-GB"/>
        </w:rPr>
      </w:pPr>
      <w:r>
        <w:t xml:space="preserve">The PSSRU policy is that </w:t>
      </w:r>
      <w:r w:rsidRPr="00696B70">
        <w:rPr>
          <w:i/>
        </w:rPr>
        <w:t>“all outputs must be approved by a senior member of staff before they are made publicly available”.</w:t>
      </w:r>
      <w:r>
        <w:t xml:space="preserve">  For further information see p18 of the PSSRU document </w:t>
      </w:r>
      <w:r w:rsidR="00696B70">
        <w:t xml:space="preserve">‘Your guide to working at PSSRU’ </w:t>
      </w:r>
      <w:hyperlink r:id="rId8" w:history="1">
        <w:r w:rsidR="00696B70" w:rsidRPr="00611EBF">
          <w:rPr>
            <w:rStyle w:val="Hyperlink"/>
          </w:rPr>
          <w:t>file://files.kent.ac.uk/shared/SSPSSR/PSSRU_Shared/Unit%20Resources/General%20Information/Your%20Guide%20to%20Working%20at%20PSSRU/Your%20guide%20to%20working%20at%20PSSRU.pdf</w:t>
        </w:r>
      </w:hyperlink>
    </w:p>
    <w:p w14:paraId="42111CB6" w14:textId="519CAB6D" w:rsidR="007D01A6" w:rsidRDefault="007D01A6" w:rsidP="00696B70">
      <w:pPr>
        <w:pStyle w:val="ListParagraph"/>
        <w:widowControl w:val="0"/>
        <w:numPr>
          <w:ilvl w:val="0"/>
          <w:numId w:val="12"/>
        </w:numPr>
        <w:tabs>
          <w:tab w:val="left" w:pos="744"/>
        </w:tabs>
        <w:autoSpaceDE w:val="0"/>
        <w:autoSpaceDN w:val="0"/>
        <w:spacing w:before="120" w:after="0" w:line="360" w:lineRule="auto"/>
        <w:ind w:right="448"/>
        <w:contextualSpacing w:val="0"/>
        <w:rPr>
          <w:rFonts w:ascii="Calibri" w:hAnsi="Calibri" w:cs="Calibri"/>
        </w:rPr>
      </w:pPr>
      <w:r w:rsidRPr="007449D0">
        <w:rPr>
          <w:rFonts w:ascii="Calibri" w:hAnsi="Calibri" w:cs="Calibri"/>
        </w:rPr>
        <w:t>Ensure all authors are given the opportunity to see and comment on an output before it is submitted to a journal or published on a</w:t>
      </w:r>
      <w:r w:rsidRPr="007449D0">
        <w:rPr>
          <w:rFonts w:ascii="Calibri" w:hAnsi="Calibri" w:cs="Calibri"/>
          <w:spacing w:val="-7"/>
        </w:rPr>
        <w:t xml:space="preserve"> </w:t>
      </w:r>
      <w:r w:rsidRPr="007449D0">
        <w:rPr>
          <w:rFonts w:ascii="Calibri" w:hAnsi="Calibri" w:cs="Calibri"/>
        </w:rPr>
        <w:t>website.</w:t>
      </w:r>
    </w:p>
    <w:p w14:paraId="02695B8E" w14:textId="51C364E8" w:rsidR="00A738EE" w:rsidRPr="007449D0" w:rsidRDefault="00A738EE" w:rsidP="00696B70">
      <w:pPr>
        <w:pStyle w:val="ListParagraph"/>
        <w:widowControl w:val="0"/>
        <w:numPr>
          <w:ilvl w:val="0"/>
          <w:numId w:val="12"/>
        </w:numPr>
        <w:tabs>
          <w:tab w:val="left" w:pos="744"/>
        </w:tabs>
        <w:autoSpaceDE w:val="0"/>
        <w:autoSpaceDN w:val="0"/>
        <w:spacing w:before="120" w:after="0" w:line="360" w:lineRule="auto"/>
        <w:ind w:right="448"/>
        <w:contextualSpacing w:val="0"/>
        <w:rPr>
          <w:rFonts w:ascii="Calibri" w:hAnsi="Calibri" w:cs="Calibri"/>
        </w:rPr>
      </w:pPr>
      <w:r>
        <w:rPr>
          <w:rFonts w:ascii="Calibri" w:hAnsi="Calibri" w:cs="Calibri"/>
        </w:rPr>
        <w:t>Consider a variety of outputs to allow all team members authorship opportunities.</w:t>
      </w:r>
    </w:p>
    <w:p w14:paraId="25873DA6" w14:textId="77777777" w:rsidR="007D01A6" w:rsidRPr="007449D0" w:rsidRDefault="007D01A6" w:rsidP="00696B70">
      <w:pPr>
        <w:pStyle w:val="ListParagraph"/>
        <w:widowControl w:val="0"/>
        <w:numPr>
          <w:ilvl w:val="0"/>
          <w:numId w:val="12"/>
        </w:numPr>
        <w:tabs>
          <w:tab w:val="left" w:pos="744"/>
        </w:tabs>
        <w:autoSpaceDE w:val="0"/>
        <w:autoSpaceDN w:val="0"/>
        <w:spacing w:before="120" w:after="0" w:line="360" w:lineRule="auto"/>
        <w:ind w:right="987"/>
        <w:contextualSpacing w:val="0"/>
        <w:rPr>
          <w:rFonts w:ascii="Calibri" w:hAnsi="Calibri" w:cs="Calibri"/>
        </w:rPr>
      </w:pPr>
      <w:r w:rsidRPr="007449D0">
        <w:rPr>
          <w:rFonts w:ascii="Calibri" w:hAnsi="Calibri" w:cs="Calibri"/>
        </w:rPr>
        <w:t>Where a number of authors report on behalf of a larger group the Vancouver Group recommendations are useful:</w:t>
      </w:r>
    </w:p>
    <w:p w14:paraId="22A8DDDB" w14:textId="40A74B68" w:rsidR="00696B70" w:rsidRDefault="007D01A6" w:rsidP="00696B70">
      <w:pPr>
        <w:pStyle w:val="Quote"/>
        <w:spacing w:before="0"/>
        <w:jc w:val="left"/>
      </w:pPr>
      <w:r w:rsidRPr="007449D0">
        <w:t>“When submitting a manuscript authored by a group, the corresponding author should clearly indicate the preferred citation and identify all individual authors as well as the group name. Journals generally list other members of the group in the Acknowledgments. The NLM indexes the group name and the names of individuals the group has identified as being directly responsible for the manuscript; it also lists the names of collaborators if they are listed in Acknowledgments”</w:t>
      </w:r>
    </w:p>
    <w:p w14:paraId="6D04AEB1" w14:textId="77777777" w:rsidR="00696B70" w:rsidRPr="00696B70" w:rsidRDefault="00696B70" w:rsidP="00696B70">
      <w:pPr>
        <w:spacing w:line="240" w:lineRule="auto"/>
      </w:pPr>
    </w:p>
    <w:p w14:paraId="7E83A8D8" w14:textId="6E8C97CF" w:rsidR="00A3327F" w:rsidRDefault="00A3327F" w:rsidP="00696B70">
      <w:pPr>
        <w:pStyle w:val="Heading1"/>
        <w:spacing w:line="360" w:lineRule="auto"/>
      </w:pPr>
      <w:r>
        <w:t>Authorship order</w:t>
      </w:r>
    </w:p>
    <w:p w14:paraId="13D20AB4" w14:textId="22F387C0" w:rsidR="00A3327F" w:rsidRDefault="00A3327F" w:rsidP="00696B70">
      <w:pPr>
        <w:pStyle w:val="BodyText"/>
        <w:spacing w:before="240" w:line="360" w:lineRule="auto"/>
        <w:ind w:left="102"/>
      </w:pPr>
      <w:r>
        <w:t>Approaches towards</w:t>
      </w:r>
      <w:r w:rsidR="003272BA">
        <w:t xml:space="preserve"> (</w:t>
      </w:r>
      <w:r>
        <w:t>and the significance of</w:t>
      </w:r>
      <w:r w:rsidR="003272BA">
        <w:t>)</w:t>
      </w:r>
      <w:r>
        <w:t xml:space="preserve"> authorship order vary across disciplines. Some list authors in order of their degree of involvement in the work, with the most active contributors listed first; others list them alphabetically. The BSA guidelines offer a useful approach (and see web link on page 4).</w:t>
      </w:r>
    </w:p>
    <w:p w14:paraId="7BF1609F" w14:textId="5E1D03AB" w:rsidR="00A3327F" w:rsidRDefault="00A3327F" w:rsidP="00696B70">
      <w:pPr>
        <w:pStyle w:val="BodyText"/>
        <w:spacing w:before="1" w:line="360" w:lineRule="auto"/>
        <w:rPr>
          <w:sz w:val="23"/>
        </w:rPr>
      </w:pPr>
    </w:p>
    <w:p w14:paraId="1A22B23B" w14:textId="1349202F" w:rsidR="00557A40" w:rsidRPr="00696B70" w:rsidRDefault="00557A40" w:rsidP="00696B70">
      <w:pPr>
        <w:pStyle w:val="Heading2"/>
        <w:spacing w:before="120" w:after="120" w:line="360" w:lineRule="auto"/>
        <w:rPr>
          <w:sz w:val="28"/>
          <w:szCs w:val="28"/>
        </w:rPr>
      </w:pPr>
      <w:r w:rsidRPr="00696B70">
        <w:rPr>
          <w:sz w:val="28"/>
          <w:szCs w:val="28"/>
        </w:rPr>
        <w:t>Establishing first Author</w:t>
      </w:r>
    </w:p>
    <w:p w14:paraId="1F1A5DE3" w14:textId="06AEB7AD" w:rsidR="00A738EE" w:rsidRDefault="00A738EE" w:rsidP="00696B70">
      <w:pPr>
        <w:pStyle w:val="ListParagraph"/>
        <w:widowControl w:val="0"/>
        <w:numPr>
          <w:ilvl w:val="0"/>
          <w:numId w:val="9"/>
        </w:numPr>
        <w:tabs>
          <w:tab w:val="left" w:pos="820"/>
          <w:tab w:val="left" w:pos="821"/>
        </w:tabs>
        <w:autoSpaceDE w:val="0"/>
        <w:autoSpaceDN w:val="0"/>
        <w:spacing w:before="120" w:after="0" w:line="360" w:lineRule="auto"/>
        <w:ind w:left="816" w:right="510" w:hanging="357"/>
        <w:contextualSpacing w:val="0"/>
        <w:rPr>
          <w:rFonts w:cstheme="minorHAnsi"/>
        </w:rPr>
      </w:pPr>
      <w:r>
        <w:rPr>
          <w:rFonts w:cstheme="minorHAnsi"/>
        </w:rPr>
        <w:t>At the beginning of a project, team members should agree on potential topics/areas where each of the team might take an opportunity to become a lead author. This would form the ‘publication plan’ of the project. Such plan should be discussed regularly, ideally every six months, to ensure everyone had an opportunity to contribute and for the inclusion of emerging ideas and outputs.</w:t>
      </w:r>
    </w:p>
    <w:p w14:paraId="7614ADAB" w14:textId="5003066D"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510" w:hanging="357"/>
        <w:contextualSpacing w:val="0"/>
        <w:rPr>
          <w:rFonts w:cstheme="minorHAnsi"/>
        </w:rPr>
      </w:pPr>
      <w:r w:rsidRPr="007449D0">
        <w:rPr>
          <w:rFonts w:cstheme="minorHAnsi"/>
        </w:rPr>
        <w:lastRenderedPageBreak/>
        <w:t xml:space="preserve">The person who has made the major contribution to the paper and taken the lead in </w:t>
      </w:r>
      <w:r w:rsidR="00DA17C3" w:rsidRPr="007449D0">
        <w:rPr>
          <w:rFonts w:cstheme="minorHAnsi"/>
        </w:rPr>
        <w:t xml:space="preserve">developing the core ideas of the output and </w:t>
      </w:r>
      <w:r w:rsidRPr="007449D0">
        <w:rPr>
          <w:rFonts w:cstheme="minorHAnsi"/>
        </w:rPr>
        <w:t>writing is entitled to be the first</w:t>
      </w:r>
      <w:r w:rsidRPr="007449D0">
        <w:rPr>
          <w:rFonts w:cstheme="minorHAnsi"/>
          <w:spacing w:val="-7"/>
        </w:rPr>
        <w:t xml:space="preserve"> </w:t>
      </w:r>
      <w:r w:rsidRPr="007449D0">
        <w:rPr>
          <w:rFonts w:cstheme="minorHAnsi"/>
        </w:rPr>
        <w:t>author</w:t>
      </w:r>
      <w:r w:rsidR="00644581" w:rsidRPr="007449D0">
        <w:rPr>
          <w:rFonts w:cstheme="minorHAnsi"/>
        </w:rPr>
        <w:t>.</w:t>
      </w:r>
    </w:p>
    <w:p w14:paraId="12576758"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253" w:hanging="357"/>
        <w:contextualSpacing w:val="0"/>
        <w:rPr>
          <w:rFonts w:cstheme="minorHAnsi"/>
        </w:rPr>
      </w:pPr>
      <w:r w:rsidRPr="007449D0">
        <w:rPr>
          <w:rFonts w:cstheme="minorHAnsi"/>
        </w:rPr>
        <w:t>Those who have made a major contribution to analysis or writing (i.e. more than commenting in detail on successive drafts) are entitled to follow the first author immediately; where there is a clear difference in the size of these contributions, this should be reflected in the order of these</w:t>
      </w:r>
      <w:r w:rsidRPr="007449D0">
        <w:rPr>
          <w:rFonts w:cstheme="minorHAnsi"/>
          <w:spacing w:val="-12"/>
        </w:rPr>
        <w:t xml:space="preserve"> </w:t>
      </w:r>
      <w:r w:rsidRPr="007449D0">
        <w:rPr>
          <w:rFonts w:cstheme="minorHAnsi"/>
        </w:rPr>
        <w:t>authors.</w:t>
      </w:r>
    </w:p>
    <w:p w14:paraId="3E2455F0" w14:textId="5E7EAB36" w:rsidR="00A3327F" w:rsidRPr="007449D0" w:rsidRDefault="00980CD3" w:rsidP="00696B70">
      <w:pPr>
        <w:pStyle w:val="ListParagraph"/>
        <w:widowControl w:val="0"/>
        <w:numPr>
          <w:ilvl w:val="0"/>
          <w:numId w:val="9"/>
        </w:numPr>
        <w:tabs>
          <w:tab w:val="left" w:pos="820"/>
          <w:tab w:val="left" w:pos="821"/>
        </w:tabs>
        <w:autoSpaceDE w:val="0"/>
        <w:autoSpaceDN w:val="0"/>
        <w:spacing w:before="120" w:after="0" w:line="360" w:lineRule="auto"/>
        <w:ind w:left="816" w:right="208" w:hanging="357"/>
        <w:contextualSpacing w:val="0"/>
        <w:rPr>
          <w:rFonts w:cstheme="minorHAnsi"/>
        </w:rPr>
      </w:pPr>
      <w:r w:rsidRPr="007449D0">
        <w:rPr>
          <w:rFonts w:cstheme="minorHAnsi"/>
        </w:rPr>
        <w:t>All others who fulfil the criteria for authorship but the difference in the size of their contribution is not clear, should complete the list in</w:t>
      </w:r>
      <w:r w:rsidRPr="007449D0" w:rsidDel="00980CD3">
        <w:rPr>
          <w:rFonts w:cstheme="minorHAnsi"/>
        </w:rPr>
        <w:t xml:space="preserve"> </w:t>
      </w:r>
      <w:r w:rsidR="00E70829" w:rsidRPr="007449D0">
        <w:rPr>
          <w:rFonts w:cstheme="minorHAnsi"/>
        </w:rPr>
        <w:t xml:space="preserve">an order all team members are happy with. </w:t>
      </w:r>
    </w:p>
    <w:p w14:paraId="1301B028" w14:textId="05D6EC75"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313" w:hanging="357"/>
        <w:contextualSpacing w:val="0"/>
        <w:rPr>
          <w:rFonts w:cstheme="minorHAnsi"/>
        </w:rPr>
      </w:pPr>
      <w:r w:rsidRPr="007449D0">
        <w:rPr>
          <w:rFonts w:cstheme="minorHAnsi"/>
        </w:rPr>
        <w:t>If all the authors feel that they have contributed equally to the paper, this can be indicated in a</w:t>
      </w:r>
      <w:r w:rsidRPr="007449D0">
        <w:rPr>
          <w:rFonts w:cstheme="minorHAnsi"/>
          <w:spacing w:val="-1"/>
        </w:rPr>
        <w:t xml:space="preserve"> </w:t>
      </w:r>
      <w:r w:rsidRPr="007449D0">
        <w:rPr>
          <w:rFonts w:cstheme="minorHAnsi"/>
        </w:rPr>
        <w:t>footnote.</w:t>
      </w:r>
    </w:p>
    <w:p w14:paraId="6B6A05A7" w14:textId="77777777" w:rsidR="003C18A9" w:rsidRPr="007449D0" w:rsidRDefault="003C18A9" w:rsidP="00696B70">
      <w:pPr>
        <w:widowControl w:val="0"/>
        <w:tabs>
          <w:tab w:val="left" w:pos="744"/>
        </w:tabs>
        <w:autoSpaceDE w:val="0"/>
        <w:autoSpaceDN w:val="0"/>
        <w:spacing w:before="120" w:after="0" w:line="360" w:lineRule="auto"/>
        <w:ind w:right="588"/>
        <w:rPr>
          <w:rFonts w:cstheme="minorHAnsi"/>
        </w:rPr>
      </w:pPr>
    </w:p>
    <w:p w14:paraId="2139F582" w14:textId="7124F906" w:rsidR="003C18A9" w:rsidRPr="007449D0" w:rsidRDefault="003C18A9" w:rsidP="00696B70">
      <w:pPr>
        <w:widowControl w:val="0"/>
        <w:tabs>
          <w:tab w:val="left" w:pos="744"/>
        </w:tabs>
        <w:autoSpaceDE w:val="0"/>
        <w:autoSpaceDN w:val="0"/>
        <w:spacing w:before="1" w:after="0" w:line="360" w:lineRule="auto"/>
        <w:ind w:right="588"/>
        <w:rPr>
          <w:rFonts w:cstheme="minorHAnsi"/>
          <w:color w:val="000000"/>
          <w:shd w:val="clear" w:color="auto" w:fill="FFFFFF"/>
        </w:rPr>
      </w:pPr>
      <w:r w:rsidRPr="007449D0">
        <w:rPr>
          <w:rFonts w:cstheme="minorHAnsi"/>
        </w:rPr>
        <w:t xml:space="preserve">A general rule about establishing who is lead author is that it is: the person who has made the major contribution to </w:t>
      </w:r>
      <w:r w:rsidR="006C2752" w:rsidRPr="007449D0">
        <w:rPr>
          <w:rFonts w:cstheme="minorHAnsi"/>
        </w:rPr>
        <w:t xml:space="preserve">carrying out </w:t>
      </w:r>
      <w:r w:rsidRPr="007449D0">
        <w:rPr>
          <w:rFonts w:cstheme="minorHAnsi"/>
        </w:rPr>
        <w:t xml:space="preserve">the research and taken the lead in </w:t>
      </w:r>
      <w:r w:rsidR="00893EE5" w:rsidRPr="007449D0">
        <w:rPr>
          <w:rFonts w:cstheme="minorHAnsi"/>
        </w:rPr>
        <w:t xml:space="preserve">developing the ideas and </w:t>
      </w:r>
      <w:r w:rsidRPr="007449D0">
        <w:rPr>
          <w:rFonts w:cstheme="minorHAnsi"/>
        </w:rPr>
        <w:t xml:space="preserve">writing </w:t>
      </w:r>
      <w:r w:rsidR="006C2752" w:rsidRPr="007449D0">
        <w:rPr>
          <w:rFonts w:cstheme="minorHAnsi"/>
        </w:rPr>
        <w:t xml:space="preserve">the paper </w:t>
      </w:r>
      <w:r w:rsidRPr="007449D0">
        <w:rPr>
          <w:rFonts w:cstheme="minorHAnsi"/>
        </w:rPr>
        <w:t>is entitled to be the first author. 2</w:t>
      </w:r>
      <w:r w:rsidRPr="007449D0">
        <w:rPr>
          <w:rFonts w:cstheme="minorHAnsi"/>
          <w:vertAlign w:val="superscript"/>
        </w:rPr>
        <w:t>nd</w:t>
      </w:r>
      <w:r w:rsidRPr="007449D0">
        <w:rPr>
          <w:rFonts w:cstheme="minorHAnsi"/>
        </w:rPr>
        <w:t xml:space="preserve"> Author is usually the person </w:t>
      </w:r>
      <w:r w:rsidRPr="007449D0">
        <w:rPr>
          <w:rFonts w:cstheme="minorHAnsi"/>
          <w:color w:val="000000"/>
          <w:shd w:val="clear" w:color="auto" w:fill="FFFFFF"/>
        </w:rPr>
        <w:t>who collaborates</w:t>
      </w:r>
      <w:r w:rsidR="00980CD3" w:rsidRPr="007449D0">
        <w:rPr>
          <w:rFonts w:cstheme="minorHAnsi"/>
          <w:color w:val="000000"/>
          <w:shd w:val="clear" w:color="auto" w:fill="FFFFFF"/>
        </w:rPr>
        <w:t xml:space="preserve"> extensively and is actively involved in most major parts of the manuscript preparation.</w:t>
      </w:r>
    </w:p>
    <w:p w14:paraId="327241D5" w14:textId="77777777" w:rsidR="00980CD3" w:rsidRPr="007449D0" w:rsidRDefault="00980CD3" w:rsidP="00696B70">
      <w:pPr>
        <w:widowControl w:val="0"/>
        <w:tabs>
          <w:tab w:val="left" w:pos="744"/>
        </w:tabs>
        <w:autoSpaceDE w:val="0"/>
        <w:autoSpaceDN w:val="0"/>
        <w:spacing w:before="1" w:after="0" w:line="360" w:lineRule="auto"/>
        <w:ind w:right="588"/>
        <w:rPr>
          <w:rFonts w:cstheme="minorHAnsi"/>
        </w:rPr>
      </w:pPr>
    </w:p>
    <w:p w14:paraId="33F1281B" w14:textId="62DF1E1F" w:rsidR="00A3327F" w:rsidRPr="00696B70" w:rsidRDefault="00A3327F" w:rsidP="00696B70">
      <w:pPr>
        <w:pStyle w:val="Heading2"/>
        <w:spacing w:before="120" w:after="120" w:line="360" w:lineRule="auto"/>
        <w:rPr>
          <w:sz w:val="28"/>
          <w:szCs w:val="28"/>
        </w:rPr>
      </w:pPr>
      <w:r w:rsidRPr="00696B70">
        <w:rPr>
          <w:sz w:val="28"/>
          <w:szCs w:val="28"/>
        </w:rPr>
        <w:t>Corresponding author</w:t>
      </w:r>
    </w:p>
    <w:p w14:paraId="15C4CA16" w14:textId="304772D7" w:rsidR="00557A40" w:rsidRDefault="003C18A9" w:rsidP="00696B70">
      <w:pPr>
        <w:widowControl w:val="0"/>
        <w:tabs>
          <w:tab w:val="left" w:pos="744"/>
        </w:tabs>
        <w:autoSpaceDE w:val="0"/>
        <w:autoSpaceDN w:val="0"/>
        <w:spacing w:after="0" w:line="360" w:lineRule="auto"/>
        <w:ind w:right="590"/>
      </w:pPr>
      <w:r>
        <w:t xml:space="preserve">Corresponding author is usually the person who has overall responsibility for the particular output. </w:t>
      </w:r>
      <w:r w:rsidRPr="00BB636C">
        <w:t xml:space="preserve">The corresponding author is </w:t>
      </w:r>
      <w:r>
        <w:t xml:space="preserve">usually </w:t>
      </w:r>
      <w:r w:rsidRPr="00BB636C">
        <w:t xml:space="preserve">the person who receives the reviewers’ comments, the proofs, etc. and whose contact details are printed on the article so that readers can request reprints or contact the research group with questions or queries about </w:t>
      </w:r>
      <w:r>
        <w:t>the work.</w:t>
      </w:r>
      <w:r w:rsidR="002C7F0C">
        <w:t xml:space="preserve"> Corresponding author usually is not different from the lead author, unless agreed otherwise. </w:t>
      </w:r>
    </w:p>
    <w:p w14:paraId="5118D0F9" w14:textId="77777777" w:rsidR="00283ADC" w:rsidRDefault="00283ADC" w:rsidP="00696B70">
      <w:pPr>
        <w:widowControl w:val="0"/>
        <w:tabs>
          <w:tab w:val="left" w:pos="744"/>
        </w:tabs>
        <w:autoSpaceDE w:val="0"/>
        <w:autoSpaceDN w:val="0"/>
        <w:spacing w:before="1" w:after="58" w:line="360" w:lineRule="auto"/>
        <w:ind w:right="588"/>
      </w:pPr>
    </w:p>
    <w:p w14:paraId="743F5711" w14:textId="49EFF632" w:rsidR="00A3327F" w:rsidRPr="00696B70" w:rsidRDefault="00A3327F" w:rsidP="00696B70">
      <w:pPr>
        <w:pStyle w:val="Heading2"/>
        <w:spacing w:before="120" w:after="120" w:line="360" w:lineRule="auto"/>
        <w:rPr>
          <w:sz w:val="28"/>
          <w:szCs w:val="28"/>
        </w:rPr>
      </w:pPr>
      <w:r w:rsidRPr="00696B70">
        <w:rPr>
          <w:sz w:val="28"/>
          <w:szCs w:val="28"/>
        </w:rPr>
        <w:t>Acknowledgement of contributions from others</w:t>
      </w:r>
    </w:p>
    <w:p w14:paraId="3CFC0DE7" w14:textId="77777777" w:rsidR="00A3327F" w:rsidRPr="007449D0" w:rsidRDefault="00A3327F" w:rsidP="00696B70">
      <w:pPr>
        <w:pStyle w:val="BodyText"/>
        <w:spacing w:before="246" w:line="360" w:lineRule="auto"/>
        <w:ind w:left="100" w:right="171"/>
      </w:pPr>
      <w:r w:rsidRPr="007449D0">
        <w:t>Examples, drawn from the BSA and ICMJE guidelines, of contributors/contributions to be included in acknowledgements are people who have provided only the following inputs.</w:t>
      </w:r>
    </w:p>
    <w:p w14:paraId="2CAE31F5"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hanging="357"/>
        <w:contextualSpacing w:val="0"/>
        <w:rPr>
          <w:rFonts w:ascii="Calibri" w:hAnsi="Calibri" w:cs="Calibri"/>
        </w:rPr>
      </w:pPr>
      <w:r w:rsidRPr="007449D0">
        <w:rPr>
          <w:rFonts w:ascii="Calibri" w:hAnsi="Calibri" w:cs="Calibri"/>
        </w:rPr>
        <w:t>assistance in obtaining</w:t>
      </w:r>
      <w:r w:rsidRPr="007449D0">
        <w:rPr>
          <w:rFonts w:ascii="Calibri" w:hAnsi="Calibri" w:cs="Calibri"/>
          <w:spacing w:val="-4"/>
        </w:rPr>
        <w:t xml:space="preserve"> </w:t>
      </w:r>
      <w:r w:rsidRPr="007449D0">
        <w:rPr>
          <w:rFonts w:ascii="Calibri" w:hAnsi="Calibri" w:cs="Calibri"/>
        </w:rPr>
        <w:t>funding</w:t>
      </w:r>
    </w:p>
    <w:p w14:paraId="31BF5215"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hanging="357"/>
        <w:contextualSpacing w:val="0"/>
        <w:rPr>
          <w:rFonts w:ascii="Calibri" w:hAnsi="Calibri" w:cs="Calibri"/>
        </w:rPr>
      </w:pPr>
      <w:r w:rsidRPr="007449D0">
        <w:rPr>
          <w:rFonts w:ascii="Calibri" w:hAnsi="Calibri" w:cs="Calibri"/>
        </w:rPr>
        <w:lastRenderedPageBreak/>
        <w:t>financial and material</w:t>
      </w:r>
      <w:r w:rsidRPr="007449D0">
        <w:rPr>
          <w:rFonts w:ascii="Calibri" w:hAnsi="Calibri" w:cs="Calibri"/>
          <w:spacing w:val="-4"/>
        </w:rPr>
        <w:t xml:space="preserve"> </w:t>
      </w:r>
      <w:r w:rsidRPr="007449D0">
        <w:rPr>
          <w:rFonts w:ascii="Calibri" w:hAnsi="Calibri" w:cs="Calibri"/>
        </w:rPr>
        <w:t>support</w:t>
      </w:r>
    </w:p>
    <w:p w14:paraId="13BCAD73"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369" w:hanging="357"/>
        <w:contextualSpacing w:val="0"/>
        <w:rPr>
          <w:rFonts w:ascii="Calibri" w:hAnsi="Calibri" w:cs="Calibri"/>
        </w:rPr>
      </w:pPr>
      <w:r w:rsidRPr="007449D0">
        <w:rPr>
          <w:rFonts w:ascii="Calibri" w:hAnsi="Calibri" w:cs="Calibri"/>
        </w:rPr>
        <w:t>purely technical help, such as writing assistance, manuscript preparation, data processors, computing staff, clerical staff and statistical</w:t>
      </w:r>
      <w:r w:rsidRPr="007449D0">
        <w:rPr>
          <w:rFonts w:ascii="Calibri" w:hAnsi="Calibri" w:cs="Calibri"/>
          <w:spacing w:val="-10"/>
        </w:rPr>
        <w:t xml:space="preserve"> </w:t>
      </w:r>
      <w:r w:rsidRPr="007449D0">
        <w:rPr>
          <w:rFonts w:ascii="Calibri" w:hAnsi="Calibri" w:cs="Calibri"/>
        </w:rPr>
        <w:t>advisors</w:t>
      </w:r>
    </w:p>
    <w:p w14:paraId="4856C2A2"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hanging="357"/>
        <w:contextualSpacing w:val="0"/>
        <w:rPr>
          <w:rFonts w:ascii="Calibri" w:hAnsi="Calibri" w:cs="Calibri"/>
        </w:rPr>
      </w:pPr>
      <w:r w:rsidRPr="007449D0">
        <w:rPr>
          <w:rFonts w:ascii="Calibri" w:hAnsi="Calibri" w:cs="Calibri"/>
        </w:rPr>
        <w:t>a department chairperson who provided only general</w:t>
      </w:r>
      <w:r w:rsidRPr="007449D0">
        <w:rPr>
          <w:rFonts w:ascii="Calibri" w:hAnsi="Calibri" w:cs="Calibri"/>
          <w:spacing w:val="-11"/>
        </w:rPr>
        <w:t xml:space="preserve"> </w:t>
      </w:r>
      <w:r w:rsidRPr="007449D0">
        <w:rPr>
          <w:rFonts w:ascii="Calibri" w:hAnsi="Calibri" w:cs="Calibri"/>
        </w:rPr>
        <w:t>support</w:t>
      </w:r>
    </w:p>
    <w:p w14:paraId="4375A0FC" w14:textId="5C8CC378"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1419" w:hanging="357"/>
        <w:contextualSpacing w:val="0"/>
        <w:rPr>
          <w:rFonts w:ascii="Calibri" w:hAnsi="Calibri" w:cs="Calibri"/>
        </w:rPr>
      </w:pPr>
      <w:r w:rsidRPr="007449D0">
        <w:rPr>
          <w:rFonts w:ascii="Calibri" w:hAnsi="Calibri" w:cs="Calibri"/>
        </w:rPr>
        <w:t>assistance with one aspect of the work such as study design, or data collection</w:t>
      </w:r>
      <w:r w:rsidR="00980CD3" w:rsidRPr="007449D0">
        <w:rPr>
          <w:rFonts w:ascii="Calibri" w:hAnsi="Calibri" w:cs="Calibri"/>
        </w:rPr>
        <w:t xml:space="preserve"> (interviewers), data analysis. </w:t>
      </w:r>
    </w:p>
    <w:p w14:paraId="12ADBF1D" w14:textId="484B5160"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hanging="357"/>
        <w:contextualSpacing w:val="0"/>
        <w:rPr>
          <w:rFonts w:ascii="Calibri" w:hAnsi="Calibri" w:cs="Calibri"/>
        </w:rPr>
      </w:pPr>
      <w:r w:rsidRPr="007449D0">
        <w:rPr>
          <w:rFonts w:ascii="Calibri" w:hAnsi="Calibri" w:cs="Calibri"/>
        </w:rPr>
        <w:t xml:space="preserve">colleagues who are not part of the research team </w:t>
      </w:r>
      <w:r w:rsidR="00893EE5" w:rsidRPr="007449D0">
        <w:rPr>
          <w:rFonts w:ascii="Calibri" w:hAnsi="Calibri" w:cs="Calibri"/>
        </w:rPr>
        <w:t xml:space="preserve">but </w:t>
      </w:r>
      <w:r w:rsidRPr="007449D0">
        <w:rPr>
          <w:rFonts w:ascii="Calibri" w:hAnsi="Calibri" w:cs="Calibri"/>
        </w:rPr>
        <w:t>have reviewed the</w:t>
      </w:r>
      <w:r w:rsidRPr="007449D0">
        <w:rPr>
          <w:rFonts w:ascii="Calibri" w:hAnsi="Calibri" w:cs="Calibri"/>
          <w:spacing w:val="-8"/>
        </w:rPr>
        <w:t xml:space="preserve"> </w:t>
      </w:r>
      <w:r w:rsidRPr="007449D0">
        <w:rPr>
          <w:rFonts w:ascii="Calibri" w:hAnsi="Calibri" w:cs="Calibri"/>
        </w:rPr>
        <w:t>paper</w:t>
      </w:r>
      <w:r w:rsidR="00980CD3" w:rsidRPr="007449D0">
        <w:rPr>
          <w:rFonts w:ascii="Calibri" w:hAnsi="Calibri" w:cs="Calibri"/>
        </w:rPr>
        <w:t xml:space="preserve"> or proof read the paper. </w:t>
      </w:r>
    </w:p>
    <w:p w14:paraId="2E896DAA" w14:textId="77777777" w:rsidR="00A3327F" w:rsidRPr="007449D0" w:rsidRDefault="00A3327F" w:rsidP="00696B70">
      <w:pPr>
        <w:pStyle w:val="ListParagraph"/>
        <w:widowControl w:val="0"/>
        <w:numPr>
          <w:ilvl w:val="0"/>
          <w:numId w:val="9"/>
        </w:numPr>
        <w:tabs>
          <w:tab w:val="left" w:pos="820"/>
          <w:tab w:val="left" w:pos="821"/>
        </w:tabs>
        <w:autoSpaceDE w:val="0"/>
        <w:autoSpaceDN w:val="0"/>
        <w:spacing w:before="120" w:after="0" w:line="360" w:lineRule="auto"/>
        <w:ind w:left="816" w:right="796" w:hanging="357"/>
        <w:contextualSpacing w:val="0"/>
        <w:rPr>
          <w:rFonts w:ascii="Calibri" w:hAnsi="Calibri" w:cs="Calibri"/>
        </w:rPr>
      </w:pPr>
      <w:r w:rsidRPr="007449D0">
        <w:rPr>
          <w:rFonts w:ascii="Calibri" w:hAnsi="Calibri" w:cs="Calibri"/>
        </w:rPr>
        <w:t>research participants and people or organisations who facilitated recruitment or data collection, ensuring anonymity is maintained when</w:t>
      </w:r>
      <w:r w:rsidRPr="007449D0">
        <w:rPr>
          <w:rFonts w:ascii="Calibri" w:hAnsi="Calibri" w:cs="Calibri"/>
          <w:spacing w:val="-11"/>
        </w:rPr>
        <w:t xml:space="preserve"> </w:t>
      </w:r>
      <w:r w:rsidRPr="007449D0">
        <w:rPr>
          <w:rFonts w:ascii="Calibri" w:hAnsi="Calibri" w:cs="Calibri"/>
        </w:rPr>
        <w:t>assured.</w:t>
      </w:r>
    </w:p>
    <w:p w14:paraId="6940DA16" w14:textId="77777777" w:rsidR="00A3327F" w:rsidRPr="007449D0" w:rsidRDefault="00A3327F" w:rsidP="00696B70">
      <w:pPr>
        <w:pStyle w:val="BodyText"/>
        <w:spacing w:line="360" w:lineRule="auto"/>
      </w:pPr>
    </w:p>
    <w:p w14:paraId="1140C124" w14:textId="1E48E7A4" w:rsidR="00980CD3" w:rsidRPr="007449D0" w:rsidRDefault="00A3327F" w:rsidP="00696B70">
      <w:pPr>
        <w:pStyle w:val="BodyText"/>
        <w:spacing w:line="360" w:lineRule="auto"/>
        <w:ind w:left="102" w:right="255"/>
      </w:pPr>
      <w:r w:rsidRPr="007449D0">
        <w:t>The ICMJE also asserts that ‘because readers may infer their (people in acknowledgements) endorsement of the data and conclusions, these persons must give written permission to be acknowledged.’ This is good practice. It should be considered early enough to give people sufficient time to respond.</w:t>
      </w:r>
      <w:r w:rsidR="00980CD3" w:rsidRPr="007449D0">
        <w:t xml:space="preserve"> Or use a disclaimer to state that the views presented are those of the author(s) alone. </w:t>
      </w:r>
    </w:p>
    <w:p w14:paraId="05B21B03" w14:textId="6648198F" w:rsidR="00A3327F" w:rsidRDefault="00A3327F" w:rsidP="00696B70">
      <w:pPr>
        <w:pStyle w:val="BodyText"/>
        <w:spacing w:line="360" w:lineRule="auto"/>
        <w:ind w:left="102" w:right="255"/>
      </w:pPr>
    </w:p>
    <w:p w14:paraId="069BEF2E" w14:textId="36396DEE" w:rsidR="00A3327F" w:rsidRDefault="00A3327F" w:rsidP="00696B70">
      <w:pPr>
        <w:pStyle w:val="Heading1"/>
        <w:spacing w:line="360" w:lineRule="auto"/>
      </w:pPr>
      <w:r w:rsidRPr="00557A40">
        <w:t>Handling disagreements</w:t>
      </w:r>
    </w:p>
    <w:p w14:paraId="0C93A458" w14:textId="73AB96BB" w:rsidR="00F16F76" w:rsidRPr="007449D0" w:rsidRDefault="00F16F76" w:rsidP="00696B70">
      <w:pPr>
        <w:spacing w:before="240" w:line="360" w:lineRule="auto"/>
        <w:rPr>
          <w:rFonts w:cstheme="minorHAnsi"/>
        </w:rPr>
      </w:pPr>
      <w:r w:rsidRPr="007449D0">
        <w:rPr>
          <w:rFonts w:cstheme="minorHAnsi"/>
        </w:rPr>
        <w:t xml:space="preserve">Where there are difficulties in putting these </w:t>
      </w:r>
      <w:r w:rsidR="00295F7F" w:rsidRPr="007449D0">
        <w:rPr>
          <w:rFonts w:cstheme="minorHAnsi"/>
        </w:rPr>
        <w:t>principles</w:t>
      </w:r>
      <w:r w:rsidRPr="007449D0">
        <w:rPr>
          <w:rFonts w:cstheme="minorHAnsi"/>
        </w:rPr>
        <w:t xml:space="preserve"> into practice, the team should discuss alternative options (e.g. consider drafting multiple papers instead of just one, consider getting a person more involved in other projects etc.). All researchers are encouraged to raise and discuss any issues on authorship and role allocation with the project lead in the first instance. It is the responsibility of the project lead to ensure authorship is discussed at the outset of the project and that it is revisited as and when project teams change. </w:t>
      </w:r>
    </w:p>
    <w:p w14:paraId="27335E73" w14:textId="77777777" w:rsidR="00A3327F" w:rsidRPr="007449D0" w:rsidRDefault="00A3327F" w:rsidP="00696B70">
      <w:pPr>
        <w:pStyle w:val="BodyText"/>
        <w:spacing w:before="246" w:line="360" w:lineRule="auto"/>
        <w:ind w:left="100" w:right="678"/>
        <w:rPr>
          <w:rFonts w:asciiTheme="minorHAnsi" w:hAnsiTheme="minorHAnsi" w:cstheme="minorHAnsi"/>
        </w:rPr>
      </w:pPr>
      <w:r w:rsidRPr="007449D0">
        <w:rPr>
          <w:rFonts w:asciiTheme="minorHAnsi" w:hAnsiTheme="minorHAnsi" w:cstheme="minorHAnsi"/>
        </w:rPr>
        <w:t>Disagreements about authorship can be classified into two types: those that contravene ICMJE guidelines (misconduct) and those that do not (disputes).</w:t>
      </w:r>
    </w:p>
    <w:p w14:paraId="78BB3817" w14:textId="77777777" w:rsidR="00A3327F" w:rsidRPr="007449D0" w:rsidRDefault="00A3327F" w:rsidP="00696B70">
      <w:pPr>
        <w:pStyle w:val="BodyText"/>
        <w:spacing w:line="360" w:lineRule="auto"/>
        <w:rPr>
          <w:rFonts w:asciiTheme="minorHAnsi" w:hAnsiTheme="minorHAnsi" w:cstheme="minorHAnsi"/>
        </w:rPr>
      </w:pPr>
    </w:p>
    <w:p w14:paraId="4163D426" w14:textId="77777777" w:rsidR="00A3327F" w:rsidRPr="007449D0" w:rsidRDefault="00A3327F" w:rsidP="00696B70">
      <w:pPr>
        <w:pStyle w:val="ListParagraph"/>
        <w:widowControl w:val="0"/>
        <w:numPr>
          <w:ilvl w:val="0"/>
          <w:numId w:val="10"/>
        </w:numPr>
        <w:tabs>
          <w:tab w:val="left" w:pos="461"/>
        </w:tabs>
        <w:autoSpaceDE w:val="0"/>
        <w:autoSpaceDN w:val="0"/>
        <w:spacing w:before="120" w:after="0" w:line="360" w:lineRule="auto"/>
        <w:ind w:right="459"/>
        <w:contextualSpacing w:val="0"/>
        <w:rPr>
          <w:rFonts w:cstheme="minorHAnsi"/>
        </w:rPr>
      </w:pPr>
      <w:r w:rsidRPr="007449D0">
        <w:rPr>
          <w:rFonts w:cstheme="minorHAnsi"/>
          <w:b/>
        </w:rPr>
        <w:t>Disputes</w:t>
      </w:r>
      <w:r w:rsidRPr="007449D0">
        <w:rPr>
          <w:rFonts w:cstheme="minorHAnsi"/>
        </w:rPr>
        <w:t xml:space="preserve">. If the suggestions to include or omit names came from the project lead, make clear why you do not agree with the decision. Support this with evidence. If the dispute cannot be resolved within the team, consider talking to your line manager or someone in </w:t>
      </w:r>
      <w:r w:rsidRPr="007449D0">
        <w:rPr>
          <w:rFonts w:cstheme="minorHAnsi"/>
        </w:rPr>
        <w:lastRenderedPageBreak/>
        <w:t>the senior management team and let the project lead know that you are going to do</w:t>
      </w:r>
      <w:r w:rsidRPr="007449D0">
        <w:rPr>
          <w:rFonts w:cstheme="minorHAnsi"/>
          <w:spacing w:val="-17"/>
        </w:rPr>
        <w:t xml:space="preserve"> </w:t>
      </w:r>
      <w:r w:rsidRPr="007449D0">
        <w:rPr>
          <w:rFonts w:cstheme="minorHAnsi"/>
        </w:rPr>
        <w:t>this.</w:t>
      </w:r>
    </w:p>
    <w:p w14:paraId="68A2FC06" w14:textId="77777777" w:rsidR="00A3327F" w:rsidRPr="007449D0" w:rsidRDefault="00A3327F" w:rsidP="00696B70">
      <w:pPr>
        <w:pStyle w:val="ListParagraph"/>
        <w:widowControl w:val="0"/>
        <w:numPr>
          <w:ilvl w:val="0"/>
          <w:numId w:val="10"/>
        </w:numPr>
        <w:tabs>
          <w:tab w:val="left" w:pos="461"/>
        </w:tabs>
        <w:autoSpaceDE w:val="0"/>
        <w:autoSpaceDN w:val="0"/>
        <w:spacing w:before="120" w:after="0" w:line="360" w:lineRule="auto"/>
        <w:ind w:left="459" w:right="130" w:hanging="357"/>
        <w:contextualSpacing w:val="0"/>
        <w:rPr>
          <w:rFonts w:cstheme="minorHAnsi"/>
        </w:rPr>
      </w:pPr>
      <w:r w:rsidRPr="007449D0">
        <w:rPr>
          <w:rFonts w:cstheme="minorHAnsi"/>
          <w:b/>
        </w:rPr>
        <w:t xml:space="preserve">Misconduct. </w:t>
      </w:r>
      <w:r w:rsidRPr="007449D0">
        <w:rPr>
          <w:rFonts w:cstheme="minorHAnsi"/>
        </w:rPr>
        <w:t>If you believe that someone is proposing to do something with the authorship list that is unethical, first explain your concerns to the project lead. Make it clear that the suggested author list contravenes the PSSRU policy or other guidelines/recommendations relevant for that document, and that it could be considered scientific misconduct. You will need to be clear about who meets the criteria for authorship and who does not, and why.  If the project lead is unable to take a misconduct disagreement forward, or you are unhappy with the outcome, talk to your line manager, or someone in the senior management</w:t>
      </w:r>
      <w:r w:rsidRPr="007449D0">
        <w:rPr>
          <w:rFonts w:cstheme="minorHAnsi"/>
          <w:spacing w:val="-6"/>
        </w:rPr>
        <w:t xml:space="preserve"> </w:t>
      </w:r>
      <w:r w:rsidRPr="007449D0">
        <w:rPr>
          <w:rFonts w:cstheme="minorHAnsi"/>
        </w:rPr>
        <w:t>team.</w:t>
      </w:r>
    </w:p>
    <w:p w14:paraId="4FAB6C3D" w14:textId="77777777" w:rsidR="00A3327F" w:rsidRPr="007449D0" w:rsidRDefault="00A3327F" w:rsidP="00696B70">
      <w:pPr>
        <w:pStyle w:val="BodyText"/>
        <w:spacing w:line="360" w:lineRule="auto"/>
        <w:rPr>
          <w:rFonts w:asciiTheme="minorHAnsi" w:hAnsiTheme="minorHAnsi" w:cstheme="minorHAnsi"/>
        </w:rPr>
      </w:pPr>
    </w:p>
    <w:p w14:paraId="6573CAC8" w14:textId="77777777" w:rsidR="00A3327F" w:rsidRPr="00557A40" w:rsidRDefault="00A3327F" w:rsidP="00696B70">
      <w:pPr>
        <w:pStyle w:val="Heading1"/>
        <w:spacing w:line="360" w:lineRule="auto"/>
      </w:pPr>
      <w:r w:rsidRPr="00557A40">
        <w:t>References and links to further information</w:t>
      </w:r>
    </w:p>
    <w:p w14:paraId="7FC6D107" w14:textId="0DB83A0E" w:rsidR="001C686A" w:rsidRPr="00701E15" w:rsidRDefault="001C686A" w:rsidP="00696B70">
      <w:pPr>
        <w:pStyle w:val="BodyText"/>
        <w:spacing w:before="360" w:line="360" w:lineRule="auto"/>
        <w:ind w:left="100" w:right="255"/>
        <w:rPr>
          <w:rFonts w:asciiTheme="minorHAnsi" w:hAnsiTheme="minorHAnsi" w:cstheme="minorHAnsi"/>
          <w:color w:val="0000FF"/>
          <w:u w:val="single" w:color="0000FF"/>
        </w:rPr>
      </w:pPr>
      <w:r w:rsidRPr="00701E15">
        <w:rPr>
          <w:rFonts w:asciiTheme="minorHAnsi" w:hAnsiTheme="minorHAnsi" w:cstheme="minorHAnsi"/>
        </w:rPr>
        <w:t xml:space="preserve">University of Kent Good Practice in Research Guidelines </w:t>
      </w:r>
      <w:hyperlink r:id="rId9">
        <w:r w:rsidRPr="00701E15">
          <w:rPr>
            <w:rFonts w:asciiTheme="minorHAnsi" w:hAnsiTheme="minorHAnsi" w:cstheme="minorHAnsi"/>
            <w:color w:val="0000FF"/>
            <w:u w:val="single" w:color="0000FF"/>
          </w:rPr>
          <w:t>http://www.kent.ac.uk/researchservices/res-govern-frmewrk/code-of-practice.html</w:t>
        </w:r>
      </w:hyperlink>
    </w:p>
    <w:p w14:paraId="2E9B7EFF" w14:textId="77777777" w:rsidR="001C686A" w:rsidRPr="00701E15" w:rsidRDefault="001C686A" w:rsidP="00696B70">
      <w:pPr>
        <w:spacing w:before="360" w:line="360" w:lineRule="auto"/>
        <w:ind w:left="100" w:right="216"/>
        <w:rPr>
          <w:rFonts w:cstheme="minorHAnsi"/>
        </w:rPr>
      </w:pPr>
      <w:r w:rsidRPr="00701E15">
        <w:rPr>
          <w:rFonts w:cstheme="minorHAnsi"/>
        </w:rPr>
        <w:t xml:space="preserve">UK Research Integrity Office (2009) </w:t>
      </w:r>
      <w:r w:rsidRPr="00701E15">
        <w:rPr>
          <w:rFonts w:cstheme="minorHAnsi"/>
          <w:i/>
        </w:rPr>
        <w:t xml:space="preserve">Promoting Good Practice and Preventing </w:t>
      </w:r>
      <w:r w:rsidRPr="00701E15">
        <w:rPr>
          <w:rFonts w:cstheme="minorHAnsi"/>
        </w:rPr>
        <w:t xml:space="preserve">Misconduct, includes a section on publication </w:t>
      </w:r>
      <w:hyperlink r:id="rId10">
        <w:r w:rsidRPr="00701E15">
          <w:rPr>
            <w:rFonts w:cstheme="minorHAnsi"/>
            <w:color w:val="0000FF"/>
            <w:u w:val="single" w:color="0000FF"/>
          </w:rPr>
          <w:t>http://www.ukrio.org/what-we-do/code-of-practice-for-research/</w:t>
        </w:r>
      </w:hyperlink>
    </w:p>
    <w:p w14:paraId="34100252" w14:textId="46CAA45E" w:rsidR="00A3327F" w:rsidRPr="00701E15" w:rsidRDefault="00A3327F" w:rsidP="00696B70">
      <w:pPr>
        <w:spacing w:before="360" w:line="360" w:lineRule="auto"/>
        <w:ind w:left="100"/>
        <w:rPr>
          <w:rFonts w:cstheme="minorHAnsi"/>
        </w:rPr>
      </w:pPr>
      <w:r w:rsidRPr="00701E15">
        <w:rPr>
          <w:rFonts w:cstheme="minorHAnsi"/>
        </w:rPr>
        <w:t xml:space="preserve">British Medical Journal (BMJ) </w:t>
      </w:r>
      <w:r w:rsidRPr="00701E15">
        <w:rPr>
          <w:rFonts w:cstheme="minorHAnsi"/>
          <w:i/>
        </w:rPr>
        <w:t>Uniform Requirements for Authorship and Contributorship</w:t>
      </w:r>
      <w:r w:rsidR="00670BE3" w:rsidRPr="00701E15">
        <w:rPr>
          <w:rFonts w:cstheme="minorHAnsi"/>
          <w:i/>
        </w:rPr>
        <w:t xml:space="preserve"> </w:t>
      </w:r>
      <w:hyperlink r:id="rId11">
        <w:r w:rsidRPr="00701E15">
          <w:rPr>
            <w:rFonts w:cstheme="minorHAnsi"/>
            <w:color w:val="0000FF"/>
            <w:u w:val="single" w:color="0000FF"/>
          </w:rPr>
          <w:t>http://www.bmj.com/about-bmj/resources-authors/article-submission/authorship-contributorship</w:t>
        </w:r>
      </w:hyperlink>
    </w:p>
    <w:p w14:paraId="29E8411F" w14:textId="3DF750B3" w:rsidR="00A3327F" w:rsidRPr="00701E15" w:rsidRDefault="00A3327F" w:rsidP="00696B70">
      <w:pPr>
        <w:spacing w:before="360" w:line="360" w:lineRule="auto"/>
        <w:ind w:left="100"/>
        <w:rPr>
          <w:rFonts w:cstheme="minorHAnsi"/>
        </w:rPr>
      </w:pPr>
      <w:r w:rsidRPr="00701E15">
        <w:rPr>
          <w:rFonts w:cstheme="minorHAnsi"/>
        </w:rPr>
        <w:t>British Soc</w:t>
      </w:r>
      <w:r w:rsidR="00696B73" w:rsidRPr="00701E15">
        <w:rPr>
          <w:rFonts w:cstheme="minorHAnsi"/>
        </w:rPr>
        <w:t>iological Association (BSA; 2019</w:t>
      </w:r>
      <w:r w:rsidRPr="00701E15">
        <w:rPr>
          <w:rFonts w:cstheme="minorHAnsi"/>
        </w:rPr>
        <w:t xml:space="preserve">) </w:t>
      </w:r>
      <w:r w:rsidRPr="00701E15">
        <w:rPr>
          <w:rFonts w:cstheme="minorHAnsi"/>
          <w:i/>
        </w:rPr>
        <w:t>Authorship Guidelines for Academic Papers</w:t>
      </w:r>
      <w:r w:rsidR="00670BE3" w:rsidRPr="00701E15">
        <w:rPr>
          <w:rFonts w:cstheme="minorHAnsi"/>
        </w:rPr>
        <w:t xml:space="preserve"> </w:t>
      </w:r>
      <w:hyperlink r:id="rId12" w:anchor="_attr" w:history="1">
        <w:r w:rsidR="00696B73" w:rsidRPr="00701E15">
          <w:rPr>
            <w:rStyle w:val="Hyperlink"/>
            <w:rFonts w:cstheme="minorHAnsi"/>
          </w:rPr>
          <w:t>https://www.britsoc.co.uk/publications/guidelines-reports/authorship-guidelines/#_attr</w:t>
        </w:r>
      </w:hyperlink>
      <w:r w:rsidR="00696B73" w:rsidRPr="00701E15">
        <w:rPr>
          <w:rFonts w:cstheme="minorHAnsi"/>
        </w:rPr>
        <w:t xml:space="preserve"> </w:t>
      </w:r>
    </w:p>
    <w:p w14:paraId="4B34CD1C" w14:textId="77777777" w:rsidR="00701E15" w:rsidRPr="00701E15" w:rsidRDefault="00701E15" w:rsidP="00696B70">
      <w:pPr>
        <w:pStyle w:val="BodyText"/>
        <w:spacing w:before="360" w:line="360" w:lineRule="auto"/>
        <w:ind w:left="100" w:right="812"/>
        <w:rPr>
          <w:rFonts w:asciiTheme="minorHAnsi" w:hAnsiTheme="minorHAnsi" w:cstheme="minorHAnsi"/>
        </w:rPr>
      </w:pPr>
      <w:r w:rsidRPr="00701E15">
        <w:rPr>
          <w:rFonts w:asciiTheme="minorHAnsi" w:hAnsiTheme="minorHAnsi" w:cstheme="minorHAnsi"/>
        </w:rPr>
        <w:t xml:space="preserve">ESRC (2010) </w:t>
      </w:r>
      <w:r w:rsidRPr="00701E15">
        <w:rPr>
          <w:rFonts w:asciiTheme="minorHAnsi" w:hAnsiTheme="minorHAnsi" w:cstheme="minorHAnsi"/>
          <w:i/>
        </w:rPr>
        <w:t>Research Ethics Framework</w:t>
      </w:r>
      <w:r w:rsidRPr="00701E15">
        <w:rPr>
          <w:rFonts w:asciiTheme="minorHAnsi" w:hAnsiTheme="minorHAnsi" w:cstheme="minorHAnsi"/>
        </w:rPr>
        <w:t xml:space="preserve">, updated September 2012 </w:t>
      </w:r>
      <w:hyperlink r:id="rId13" w:history="1">
        <w:r w:rsidRPr="00701E15">
          <w:rPr>
            <w:rStyle w:val="Hyperlink"/>
            <w:rFonts w:asciiTheme="minorHAnsi" w:hAnsiTheme="minorHAnsi" w:cstheme="minorHAnsi"/>
          </w:rPr>
          <w:t>https://journals.sagepub.com/doi/abs/10.5153/sro.2265</w:t>
        </w:r>
      </w:hyperlink>
      <w:r w:rsidRPr="00701E15">
        <w:rPr>
          <w:rFonts w:asciiTheme="minorHAnsi" w:hAnsiTheme="minorHAnsi" w:cstheme="minorHAnsi"/>
        </w:rPr>
        <w:t xml:space="preserve"> </w:t>
      </w:r>
    </w:p>
    <w:p w14:paraId="43AD933F" w14:textId="77777777" w:rsidR="00701E15" w:rsidRPr="00701E15" w:rsidRDefault="00701E15" w:rsidP="00696B70">
      <w:pPr>
        <w:spacing w:before="360" w:line="360" w:lineRule="auto"/>
        <w:ind w:left="100"/>
        <w:rPr>
          <w:rFonts w:cstheme="minorHAnsi"/>
        </w:rPr>
      </w:pPr>
      <w:r w:rsidRPr="00701E15">
        <w:rPr>
          <w:rFonts w:cstheme="minorHAnsi"/>
        </w:rPr>
        <w:t xml:space="preserve">Social Research Association (SRA; 2003) </w:t>
      </w:r>
      <w:r w:rsidRPr="00701E15">
        <w:rPr>
          <w:rFonts w:cstheme="minorHAnsi"/>
          <w:i/>
        </w:rPr>
        <w:t>Ethical Guidelines</w:t>
      </w:r>
      <w:r w:rsidRPr="00701E15">
        <w:rPr>
          <w:rFonts w:cstheme="minorHAnsi"/>
        </w:rPr>
        <w:t xml:space="preserve"> </w:t>
      </w:r>
      <w:hyperlink r:id="rId14">
        <w:r w:rsidRPr="00701E15">
          <w:rPr>
            <w:rFonts w:cstheme="minorHAnsi"/>
            <w:color w:val="0000FF"/>
            <w:u w:val="single" w:color="0000FF"/>
          </w:rPr>
          <w:t>http://the-sra.org.uk/wp-content/uploads/ethics03.pdf</w:t>
        </w:r>
      </w:hyperlink>
    </w:p>
    <w:p w14:paraId="65229FB2" w14:textId="7178BA6D" w:rsidR="00A3327F" w:rsidRPr="00701E15" w:rsidRDefault="00A3327F" w:rsidP="00696B70">
      <w:pPr>
        <w:spacing w:before="360" w:line="360" w:lineRule="auto"/>
        <w:ind w:left="100" w:right="312"/>
        <w:rPr>
          <w:rFonts w:cstheme="minorHAnsi"/>
          <w:color w:val="333333"/>
        </w:rPr>
      </w:pPr>
      <w:r w:rsidRPr="00701E15">
        <w:rPr>
          <w:rFonts w:cstheme="minorHAnsi"/>
          <w:color w:val="333333"/>
        </w:rPr>
        <w:t>COPE is primarily a resource for Editors and Publishers of Scholarly Journals, but it includes guidance on how to handle authorship disputes.</w:t>
      </w:r>
    </w:p>
    <w:p w14:paraId="4A96C2F2" w14:textId="77777777" w:rsidR="00670BE3" w:rsidRPr="00701E15" w:rsidRDefault="00670BE3" w:rsidP="00696B70">
      <w:pPr>
        <w:pStyle w:val="ListParagraph"/>
        <w:widowControl w:val="0"/>
        <w:numPr>
          <w:ilvl w:val="1"/>
          <w:numId w:val="10"/>
        </w:numPr>
        <w:tabs>
          <w:tab w:val="left" w:pos="820"/>
          <w:tab w:val="left" w:pos="821"/>
        </w:tabs>
        <w:autoSpaceDE w:val="0"/>
        <w:autoSpaceDN w:val="0"/>
        <w:spacing w:before="360" w:after="0" w:line="360" w:lineRule="auto"/>
        <w:ind w:right="95"/>
        <w:contextualSpacing w:val="0"/>
        <w:rPr>
          <w:rFonts w:cstheme="minorHAnsi"/>
          <w:i/>
        </w:rPr>
      </w:pPr>
      <w:r w:rsidRPr="00701E15">
        <w:rPr>
          <w:rFonts w:cstheme="minorHAnsi"/>
          <w:i/>
        </w:rPr>
        <w:t>What to do if you suspect ghost, guest or gift</w:t>
      </w:r>
      <w:r w:rsidRPr="00701E15">
        <w:rPr>
          <w:rFonts w:cstheme="minorHAnsi"/>
          <w:i/>
          <w:spacing w:val="-11"/>
        </w:rPr>
        <w:t xml:space="preserve"> </w:t>
      </w:r>
      <w:r w:rsidRPr="00701E15">
        <w:rPr>
          <w:rFonts w:cstheme="minorHAnsi"/>
          <w:i/>
        </w:rPr>
        <w:t xml:space="preserve">authorship </w:t>
      </w:r>
      <w:hyperlink r:id="rId15">
        <w:r w:rsidRPr="00701E15">
          <w:rPr>
            <w:rFonts w:cstheme="minorHAnsi"/>
            <w:color w:val="0000FF"/>
            <w:u w:val="single" w:color="0000FF"/>
          </w:rPr>
          <w:t>http://publicationethics.org/files/u2/04E_Author_Ghost_Guest_Gift.pdf</w:t>
        </w:r>
      </w:hyperlink>
      <w:r w:rsidRPr="00701E15">
        <w:rPr>
          <w:rFonts w:cstheme="minorHAnsi"/>
          <w:color w:val="0000FF"/>
          <w:u w:val="single" w:color="0000FF"/>
        </w:rPr>
        <w:t>.</w:t>
      </w:r>
    </w:p>
    <w:p w14:paraId="74E6C973" w14:textId="03639A7D" w:rsidR="00A3327F" w:rsidRPr="00701E15" w:rsidRDefault="00A3327F" w:rsidP="00696B70">
      <w:pPr>
        <w:pStyle w:val="ListParagraph"/>
        <w:widowControl w:val="0"/>
        <w:numPr>
          <w:ilvl w:val="1"/>
          <w:numId w:val="10"/>
        </w:numPr>
        <w:tabs>
          <w:tab w:val="left" w:pos="820"/>
          <w:tab w:val="left" w:pos="821"/>
        </w:tabs>
        <w:autoSpaceDE w:val="0"/>
        <w:autoSpaceDN w:val="0"/>
        <w:spacing w:before="360" w:after="0" w:line="360" w:lineRule="auto"/>
        <w:ind w:right="2741"/>
        <w:contextualSpacing w:val="0"/>
        <w:rPr>
          <w:rFonts w:cstheme="minorHAnsi"/>
          <w:i/>
        </w:rPr>
      </w:pPr>
      <w:r w:rsidRPr="00701E15">
        <w:rPr>
          <w:rFonts w:cstheme="minorHAnsi"/>
          <w:i/>
        </w:rPr>
        <w:t>How to handle authorship disputes: a guide for new researchers</w:t>
      </w:r>
      <w:hyperlink r:id="rId16">
        <w:r w:rsidRPr="00701E15">
          <w:rPr>
            <w:rFonts w:cstheme="minorHAnsi"/>
            <w:i/>
            <w:color w:val="0000FF"/>
            <w:u w:val="single" w:color="0000FF"/>
          </w:rPr>
          <w:t xml:space="preserve"> http://publicationethics.org/files/2003pdf12.pdf</w:t>
        </w:r>
      </w:hyperlink>
    </w:p>
    <w:sectPr w:rsidR="00A3327F" w:rsidRPr="00701E15">
      <w:footerReference w:type="defaul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39726" w16cid:durableId="20EAC0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5CD0E" w14:textId="77777777" w:rsidR="00F12840" w:rsidRDefault="00F12840" w:rsidP="00980CD3">
      <w:pPr>
        <w:spacing w:after="0" w:line="240" w:lineRule="auto"/>
      </w:pPr>
      <w:r>
        <w:separator/>
      </w:r>
    </w:p>
  </w:endnote>
  <w:endnote w:type="continuationSeparator" w:id="0">
    <w:p w14:paraId="485FFFF3" w14:textId="77777777" w:rsidR="00F12840" w:rsidRDefault="00F12840" w:rsidP="0098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2649"/>
      <w:docPartObj>
        <w:docPartGallery w:val="Page Numbers (Bottom of Page)"/>
        <w:docPartUnique/>
      </w:docPartObj>
    </w:sdtPr>
    <w:sdtEndPr>
      <w:rPr>
        <w:color w:val="7F7F7F" w:themeColor="background1" w:themeShade="7F"/>
        <w:spacing w:val="60"/>
      </w:rPr>
    </w:sdtEndPr>
    <w:sdtContent>
      <w:p w14:paraId="197D3634" w14:textId="5A20274A" w:rsidR="00980CD3" w:rsidRDefault="00980C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2C91">
          <w:rPr>
            <w:noProof/>
          </w:rPr>
          <w:t>7</w:t>
        </w:r>
        <w:r>
          <w:rPr>
            <w:noProof/>
          </w:rPr>
          <w:fldChar w:fldCharType="end"/>
        </w:r>
        <w:r>
          <w:t xml:space="preserve"> | </w:t>
        </w:r>
        <w:r>
          <w:rPr>
            <w:color w:val="7F7F7F" w:themeColor="background1" w:themeShade="7F"/>
            <w:spacing w:val="60"/>
          </w:rPr>
          <w:t>Page</w:t>
        </w:r>
      </w:p>
    </w:sdtContent>
  </w:sdt>
  <w:p w14:paraId="0FF50082" w14:textId="77777777" w:rsidR="00980CD3" w:rsidRDefault="0098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0566A" w14:textId="77777777" w:rsidR="00F12840" w:rsidRDefault="00F12840" w:rsidP="00980CD3">
      <w:pPr>
        <w:spacing w:after="0" w:line="240" w:lineRule="auto"/>
      </w:pPr>
      <w:r>
        <w:separator/>
      </w:r>
    </w:p>
  </w:footnote>
  <w:footnote w:type="continuationSeparator" w:id="0">
    <w:p w14:paraId="0F205BB1" w14:textId="77777777" w:rsidR="00F12840" w:rsidRDefault="00F12840" w:rsidP="0098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E6E"/>
    <w:multiLevelType w:val="hybridMultilevel"/>
    <w:tmpl w:val="C85C261C"/>
    <w:lvl w:ilvl="0" w:tplc="5994D6E6">
      <w:start w:val="1"/>
      <w:numFmt w:val="decimal"/>
      <w:lvlText w:val="%1."/>
      <w:lvlJc w:val="left"/>
      <w:pPr>
        <w:ind w:left="743" w:hanging="360"/>
      </w:pPr>
      <w:rPr>
        <w:rFonts w:ascii="Calibri" w:eastAsia="Calibri" w:hAnsi="Calibri" w:cs="Calibri" w:hint="default"/>
        <w:w w:val="100"/>
        <w:sz w:val="22"/>
        <w:szCs w:val="22"/>
        <w:lang w:val="en-GB" w:eastAsia="en-GB" w:bidi="en-GB"/>
      </w:rPr>
    </w:lvl>
    <w:lvl w:ilvl="1" w:tplc="C4FA5430">
      <w:numFmt w:val="bullet"/>
      <w:lvlText w:val="•"/>
      <w:lvlJc w:val="left"/>
      <w:pPr>
        <w:ind w:left="1590" w:hanging="360"/>
      </w:pPr>
      <w:rPr>
        <w:rFonts w:hint="default"/>
        <w:lang w:val="en-GB" w:eastAsia="en-GB" w:bidi="en-GB"/>
      </w:rPr>
    </w:lvl>
    <w:lvl w:ilvl="2" w:tplc="0F44115E">
      <w:numFmt w:val="bullet"/>
      <w:lvlText w:val="•"/>
      <w:lvlJc w:val="left"/>
      <w:pPr>
        <w:ind w:left="2441" w:hanging="360"/>
      </w:pPr>
      <w:rPr>
        <w:rFonts w:hint="default"/>
        <w:lang w:val="en-GB" w:eastAsia="en-GB" w:bidi="en-GB"/>
      </w:rPr>
    </w:lvl>
    <w:lvl w:ilvl="3" w:tplc="8D4C1676">
      <w:numFmt w:val="bullet"/>
      <w:lvlText w:val="•"/>
      <w:lvlJc w:val="left"/>
      <w:pPr>
        <w:ind w:left="3291" w:hanging="360"/>
      </w:pPr>
      <w:rPr>
        <w:rFonts w:hint="default"/>
        <w:lang w:val="en-GB" w:eastAsia="en-GB" w:bidi="en-GB"/>
      </w:rPr>
    </w:lvl>
    <w:lvl w:ilvl="4" w:tplc="2118D616">
      <w:numFmt w:val="bullet"/>
      <w:lvlText w:val="•"/>
      <w:lvlJc w:val="left"/>
      <w:pPr>
        <w:ind w:left="4142" w:hanging="360"/>
      </w:pPr>
      <w:rPr>
        <w:rFonts w:hint="default"/>
        <w:lang w:val="en-GB" w:eastAsia="en-GB" w:bidi="en-GB"/>
      </w:rPr>
    </w:lvl>
    <w:lvl w:ilvl="5" w:tplc="BE100746">
      <w:numFmt w:val="bullet"/>
      <w:lvlText w:val="•"/>
      <w:lvlJc w:val="left"/>
      <w:pPr>
        <w:ind w:left="4993" w:hanging="360"/>
      </w:pPr>
      <w:rPr>
        <w:rFonts w:hint="default"/>
        <w:lang w:val="en-GB" w:eastAsia="en-GB" w:bidi="en-GB"/>
      </w:rPr>
    </w:lvl>
    <w:lvl w:ilvl="6" w:tplc="65A4AE10">
      <w:numFmt w:val="bullet"/>
      <w:lvlText w:val="•"/>
      <w:lvlJc w:val="left"/>
      <w:pPr>
        <w:ind w:left="5843" w:hanging="360"/>
      </w:pPr>
      <w:rPr>
        <w:rFonts w:hint="default"/>
        <w:lang w:val="en-GB" w:eastAsia="en-GB" w:bidi="en-GB"/>
      </w:rPr>
    </w:lvl>
    <w:lvl w:ilvl="7" w:tplc="0B68DA18">
      <w:numFmt w:val="bullet"/>
      <w:lvlText w:val="•"/>
      <w:lvlJc w:val="left"/>
      <w:pPr>
        <w:ind w:left="6694" w:hanging="360"/>
      </w:pPr>
      <w:rPr>
        <w:rFonts w:hint="default"/>
        <w:lang w:val="en-GB" w:eastAsia="en-GB" w:bidi="en-GB"/>
      </w:rPr>
    </w:lvl>
    <w:lvl w:ilvl="8" w:tplc="5112929A">
      <w:numFmt w:val="bullet"/>
      <w:lvlText w:val="•"/>
      <w:lvlJc w:val="left"/>
      <w:pPr>
        <w:ind w:left="7545" w:hanging="360"/>
      </w:pPr>
      <w:rPr>
        <w:rFonts w:hint="default"/>
        <w:lang w:val="en-GB" w:eastAsia="en-GB" w:bidi="en-GB"/>
      </w:rPr>
    </w:lvl>
  </w:abstractNum>
  <w:abstractNum w:abstractNumId="1" w15:restartNumberingAfterBreak="0">
    <w:nsid w:val="0DF17D7E"/>
    <w:multiLevelType w:val="hybridMultilevel"/>
    <w:tmpl w:val="313E8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66654"/>
    <w:multiLevelType w:val="hybridMultilevel"/>
    <w:tmpl w:val="EACE7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535E3"/>
    <w:multiLevelType w:val="hybridMultilevel"/>
    <w:tmpl w:val="E9F60D74"/>
    <w:lvl w:ilvl="0" w:tplc="6B10C05A">
      <w:start w:val="1"/>
      <w:numFmt w:val="decimal"/>
      <w:lvlText w:val="%1."/>
      <w:lvlJc w:val="left"/>
      <w:pPr>
        <w:ind w:left="460" w:hanging="360"/>
      </w:pPr>
      <w:rPr>
        <w:rFonts w:hint="default"/>
        <w:b/>
        <w:bCs/>
        <w:w w:val="100"/>
        <w:lang w:val="en-GB" w:eastAsia="en-GB" w:bidi="en-GB"/>
      </w:rPr>
    </w:lvl>
    <w:lvl w:ilvl="1" w:tplc="DD242D00">
      <w:numFmt w:val="bullet"/>
      <w:lvlText w:val=""/>
      <w:lvlJc w:val="left"/>
      <w:pPr>
        <w:ind w:left="820" w:hanging="360"/>
      </w:pPr>
      <w:rPr>
        <w:rFonts w:ascii="Symbol" w:eastAsia="Symbol" w:hAnsi="Symbol" w:cs="Symbol" w:hint="default"/>
        <w:color w:val="0000FF"/>
        <w:w w:val="100"/>
        <w:sz w:val="22"/>
        <w:szCs w:val="22"/>
        <w:lang w:val="en-GB" w:eastAsia="en-GB" w:bidi="en-GB"/>
      </w:rPr>
    </w:lvl>
    <w:lvl w:ilvl="2" w:tplc="A078B8E6">
      <w:numFmt w:val="bullet"/>
      <w:lvlText w:val="•"/>
      <w:lvlJc w:val="left"/>
      <w:pPr>
        <w:ind w:left="1756" w:hanging="360"/>
      </w:pPr>
      <w:rPr>
        <w:rFonts w:hint="default"/>
        <w:lang w:val="en-GB" w:eastAsia="en-GB" w:bidi="en-GB"/>
      </w:rPr>
    </w:lvl>
    <w:lvl w:ilvl="3" w:tplc="F154C65C">
      <w:numFmt w:val="bullet"/>
      <w:lvlText w:val="•"/>
      <w:lvlJc w:val="left"/>
      <w:pPr>
        <w:ind w:left="2692" w:hanging="360"/>
      </w:pPr>
      <w:rPr>
        <w:rFonts w:hint="default"/>
        <w:lang w:val="en-GB" w:eastAsia="en-GB" w:bidi="en-GB"/>
      </w:rPr>
    </w:lvl>
    <w:lvl w:ilvl="4" w:tplc="4D5AE1BE">
      <w:numFmt w:val="bullet"/>
      <w:lvlText w:val="•"/>
      <w:lvlJc w:val="left"/>
      <w:pPr>
        <w:ind w:left="3628" w:hanging="360"/>
      </w:pPr>
      <w:rPr>
        <w:rFonts w:hint="default"/>
        <w:lang w:val="en-GB" w:eastAsia="en-GB" w:bidi="en-GB"/>
      </w:rPr>
    </w:lvl>
    <w:lvl w:ilvl="5" w:tplc="F954B992">
      <w:numFmt w:val="bullet"/>
      <w:lvlText w:val="•"/>
      <w:lvlJc w:val="left"/>
      <w:pPr>
        <w:ind w:left="4565" w:hanging="360"/>
      </w:pPr>
      <w:rPr>
        <w:rFonts w:hint="default"/>
        <w:lang w:val="en-GB" w:eastAsia="en-GB" w:bidi="en-GB"/>
      </w:rPr>
    </w:lvl>
    <w:lvl w:ilvl="6" w:tplc="C1288EE6">
      <w:numFmt w:val="bullet"/>
      <w:lvlText w:val="•"/>
      <w:lvlJc w:val="left"/>
      <w:pPr>
        <w:ind w:left="5501" w:hanging="360"/>
      </w:pPr>
      <w:rPr>
        <w:rFonts w:hint="default"/>
        <w:lang w:val="en-GB" w:eastAsia="en-GB" w:bidi="en-GB"/>
      </w:rPr>
    </w:lvl>
    <w:lvl w:ilvl="7" w:tplc="B8C6349E">
      <w:numFmt w:val="bullet"/>
      <w:lvlText w:val="•"/>
      <w:lvlJc w:val="left"/>
      <w:pPr>
        <w:ind w:left="6437" w:hanging="360"/>
      </w:pPr>
      <w:rPr>
        <w:rFonts w:hint="default"/>
        <w:lang w:val="en-GB" w:eastAsia="en-GB" w:bidi="en-GB"/>
      </w:rPr>
    </w:lvl>
    <w:lvl w:ilvl="8" w:tplc="EABCF284">
      <w:numFmt w:val="bullet"/>
      <w:lvlText w:val="•"/>
      <w:lvlJc w:val="left"/>
      <w:pPr>
        <w:ind w:left="7373" w:hanging="360"/>
      </w:pPr>
      <w:rPr>
        <w:rFonts w:hint="default"/>
        <w:lang w:val="en-GB" w:eastAsia="en-GB" w:bidi="en-GB"/>
      </w:rPr>
    </w:lvl>
  </w:abstractNum>
  <w:abstractNum w:abstractNumId="4" w15:restartNumberingAfterBreak="0">
    <w:nsid w:val="2E9A155C"/>
    <w:multiLevelType w:val="hybridMultilevel"/>
    <w:tmpl w:val="3D9A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510"/>
    <w:multiLevelType w:val="hybridMultilevel"/>
    <w:tmpl w:val="9616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F064BA"/>
    <w:multiLevelType w:val="hybridMultilevel"/>
    <w:tmpl w:val="1ED2D98E"/>
    <w:lvl w:ilvl="0" w:tplc="B83AFFC4">
      <w:numFmt w:val="bullet"/>
      <w:lvlText w:val=""/>
      <w:lvlJc w:val="left"/>
      <w:pPr>
        <w:ind w:left="820" w:hanging="360"/>
      </w:pPr>
      <w:rPr>
        <w:rFonts w:ascii="Symbol" w:eastAsia="Symbol" w:hAnsi="Symbol" w:cs="Symbol" w:hint="default"/>
        <w:w w:val="100"/>
        <w:sz w:val="22"/>
        <w:szCs w:val="22"/>
        <w:lang w:val="en-GB" w:eastAsia="en-GB" w:bidi="en-GB"/>
      </w:rPr>
    </w:lvl>
    <w:lvl w:ilvl="1" w:tplc="C05C345A">
      <w:numFmt w:val="bullet"/>
      <w:lvlText w:val="•"/>
      <w:lvlJc w:val="left"/>
      <w:pPr>
        <w:ind w:left="1662" w:hanging="360"/>
      </w:pPr>
      <w:rPr>
        <w:rFonts w:hint="default"/>
        <w:lang w:val="en-GB" w:eastAsia="en-GB" w:bidi="en-GB"/>
      </w:rPr>
    </w:lvl>
    <w:lvl w:ilvl="2" w:tplc="DBFAB0BA">
      <w:numFmt w:val="bullet"/>
      <w:lvlText w:val="•"/>
      <w:lvlJc w:val="left"/>
      <w:pPr>
        <w:ind w:left="2505" w:hanging="360"/>
      </w:pPr>
      <w:rPr>
        <w:rFonts w:hint="default"/>
        <w:lang w:val="en-GB" w:eastAsia="en-GB" w:bidi="en-GB"/>
      </w:rPr>
    </w:lvl>
    <w:lvl w:ilvl="3" w:tplc="4C62A1A6">
      <w:numFmt w:val="bullet"/>
      <w:lvlText w:val="•"/>
      <w:lvlJc w:val="left"/>
      <w:pPr>
        <w:ind w:left="3347" w:hanging="360"/>
      </w:pPr>
      <w:rPr>
        <w:rFonts w:hint="default"/>
        <w:lang w:val="en-GB" w:eastAsia="en-GB" w:bidi="en-GB"/>
      </w:rPr>
    </w:lvl>
    <w:lvl w:ilvl="4" w:tplc="EC6EFF12">
      <w:numFmt w:val="bullet"/>
      <w:lvlText w:val="•"/>
      <w:lvlJc w:val="left"/>
      <w:pPr>
        <w:ind w:left="4190" w:hanging="360"/>
      </w:pPr>
      <w:rPr>
        <w:rFonts w:hint="default"/>
        <w:lang w:val="en-GB" w:eastAsia="en-GB" w:bidi="en-GB"/>
      </w:rPr>
    </w:lvl>
    <w:lvl w:ilvl="5" w:tplc="0902D8A2">
      <w:numFmt w:val="bullet"/>
      <w:lvlText w:val="•"/>
      <w:lvlJc w:val="left"/>
      <w:pPr>
        <w:ind w:left="5033" w:hanging="360"/>
      </w:pPr>
      <w:rPr>
        <w:rFonts w:hint="default"/>
        <w:lang w:val="en-GB" w:eastAsia="en-GB" w:bidi="en-GB"/>
      </w:rPr>
    </w:lvl>
    <w:lvl w:ilvl="6" w:tplc="76761618">
      <w:numFmt w:val="bullet"/>
      <w:lvlText w:val="•"/>
      <w:lvlJc w:val="left"/>
      <w:pPr>
        <w:ind w:left="5875" w:hanging="360"/>
      </w:pPr>
      <w:rPr>
        <w:rFonts w:hint="default"/>
        <w:lang w:val="en-GB" w:eastAsia="en-GB" w:bidi="en-GB"/>
      </w:rPr>
    </w:lvl>
    <w:lvl w:ilvl="7" w:tplc="F68E5530">
      <w:numFmt w:val="bullet"/>
      <w:lvlText w:val="•"/>
      <w:lvlJc w:val="left"/>
      <w:pPr>
        <w:ind w:left="6718" w:hanging="360"/>
      </w:pPr>
      <w:rPr>
        <w:rFonts w:hint="default"/>
        <w:lang w:val="en-GB" w:eastAsia="en-GB" w:bidi="en-GB"/>
      </w:rPr>
    </w:lvl>
    <w:lvl w:ilvl="8" w:tplc="8120249E">
      <w:numFmt w:val="bullet"/>
      <w:lvlText w:val="•"/>
      <w:lvlJc w:val="left"/>
      <w:pPr>
        <w:ind w:left="7561" w:hanging="360"/>
      </w:pPr>
      <w:rPr>
        <w:rFonts w:hint="default"/>
        <w:lang w:val="en-GB" w:eastAsia="en-GB" w:bidi="en-GB"/>
      </w:rPr>
    </w:lvl>
  </w:abstractNum>
  <w:abstractNum w:abstractNumId="7" w15:restartNumberingAfterBreak="0">
    <w:nsid w:val="4E333D9D"/>
    <w:multiLevelType w:val="hybridMultilevel"/>
    <w:tmpl w:val="E26CC606"/>
    <w:lvl w:ilvl="0" w:tplc="8B6A0336">
      <w:start w:val="1"/>
      <w:numFmt w:val="decimal"/>
      <w:lvlText w:val="%1."/>
      <w:lvlJc w:val="left"/>
      <w:pPr>
        <w:ind w:left="743" w:hanging="360"/>
      </w:pPr>
      <w:rPr>
        <w:rFonts w:ascii="Calibri" w:eastAsia="Calibri" w:hAnsi="Calibri" w:cs="Calibri" w:hint="default"/>
        <w:w w:val="100"/>
        <w:sz w:val="22"/>
        <w:szCs w:val="22"/>
        <w:lang w:val="en-GB" w:eastAsia="en-GB" w:bidi="en-GB"/>
      </w:rPr>
    </w:lvl>
    <w:lvl w:ilvl="1" w:tplc="75441FF8">
      <w:numFmt w:val="bullet"/>
      <w:lvlText w:val="•"/>
      <w:lvlJc w:val="left"/>
      <w:pPr>
        <w:ind w:left="1590" w:hanging="360"/>
      </w:pPr>
      <w:rPr>
        <w:rFonts w:hint="default"/>
        <w:lang w:val="en-GB" w:eastAsia="en-GB" w:bidi="en-GB"/>
      </w:rPr>
    </w:lvl>
    <w:lvl w:ilvl="2" w:tplc="C50CE722">
      <w:numFmt w:val="bullet"/>
      <w:lvlText w:val="•"/>
      <w:lvlJc w:val="left"/>
      <w:pPr>
        <w:ind w:left="2441" w:hanging="360"/>
      </w:pPr>
      <w:rPr>
        <w:rFonts w:hint="default"/>
        <w:lang w:val="en-GB" w:eastAsia="en-GB" w:bidi="en-GB"/>
      </w:rPr>
    </w:lvl>
    <w:lvl w:ilvl="3" w:tplc="A26226B2">
      <w:numFmt w:val="bullet"/>
      <w:lvlText w:val="•"/>
      <w:lvlJc w:val="left"/>
      <w:pPr>
        <w:ind w:left="3291" w:hanging="360"/>
      </w:pPr>
      <w:rPr>
        <w:rFonts w:hint="default"/>
        <w:lang w:val="en-GB" w:eastAsia="en-GB" w:bidi="en-GB"/>
      </w:rPr>
    </w:lvl>
    <w:lvl w:ilvl="4" w:tplc="DD2222F6">
      <w:numFmt w:val="bullet"/>
      <w:lvlText w:val="•"/>
      <w:lvlJc w:val="left"/>
      <w:pPr>
        <w:ind w:left="4142" w:hanging="360"/>
      </w:pPr>
      <w:rPr>
        <w:rFonts w:hint="default"/>
        <w:lang w:val="en-GB" w:eastAsia="en-GB" w:bidi="en-GB"/>
      </w:rPr>
    </w:lvl>
    <w:lvl w:ilvl="5" w:tplc="7AAC98D2">
      <w:numFmt w:val="bullet"/>
      <w:lvlText w:val="•"/>
      <w:lvlJc w:val="left"/>
      <w:pPr>
        <w:ind w:left="4993" w:hanging="360"/>
      </w:pPr>
      <w:rPr>
        <w:rFonts w:hint="default"/>
        <w:lang w:val="en-GB" w:eastAsia="en-GB" w:bidi="en-GB"/>
      </w:rPr>
    </w:lvl>
    <w:lvl w:ilvl="6" w:tplc="471C78AA">
      <w:numFmt w:val="bullet"/>
      <w:lvlText w:val="•"/>
      <w:lvlJc w:val="left"/>
      <w:pPr>
        <w:ind w:left="5843" w:hanging="360"/>
      </w:pPr>
      <w:rPr>
        <w:rFonts w:hint="default"/>
        <w:lang w:val="en-GB" w:eastAsia="en-GB" w:bidi="en-GB"/>
      </w:rPr>
    </w:lvl>
    <w:lvl w:ilvl="7" w:tplc="A6348E4A">
      <w:numFmt w:val="bullet"/>
      <w:lvlText w:val="•"/>
      <w:lvlJc w:val="left"/>
      <w:pPr>
        <w:ind w:left="6694" w:hanging="360"/>
      </w:pPr>
      <w:rPr>
        <w:rFonts w:hint="default"/>
        <w:lang w:val="en-GB" w:eastAsia="en-GB" w:bidi="en-GB"/>
      </w:rPr>
    </w:lvl>
    <w:lvl w:ilvl="8" w:tplc="21DA093A">
      <w:numFmt w:val="bullet"/>
      <w:lvlText w:val="•"/>
      <w:lvlJc w:val="left"/>
      <w:pPr>
        <w:ind w:left="7545" w:hanging="360"/>
      </w:pPr>
      <w:rPr>
        <w:rFonts w:hint="default"/>
        <w:lang w:val="en-GB" w:eastAsia="en-GB" w:bidi="en-GB"/>
      </w:rPr>
    </w:lvl>
  </w:abstractNum>
  <w:abstractNum w:abstractNumId="8" w15:restartNumberingAfterBreak="0">
    <w:nsid w:val="5D914740"/>
    <w:multiLevelType w:val="hybridMultilevel"/>
    <w:tmpl w:val="25EE8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53462"/>
    <w:multiLevelType w:val="hybridMultilevel"/>
    <w:tmpl w:val="C2DACC5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66273277"/>
    <w:multiLevelType w:val="hybridMultilevel"/>
    <w:tmpl w:val="913C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5267DF"/>
    <w:multiLevelType w:val="hybridMultilevel"/>
    <w:tmpl w:val="8C3A2AC4"/>
    <w:lvl w:ilvl="0" w:tplc="7E24AA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B74A6"/>
    <w:multiLevelType w:val="hybridMultilevel"/>
    <w:tmpl w:val="A3BE17E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abstractNumId w:val="2"/>
  </w:num>
  <w:num w:numId="2">
    <w:abstractNumId w:val="9"/>
  </w:num>
  <w:num w:numId="3">
    <w:abstractNumId w:val="12"/>
  </w:num>
  <w:num w:numId="4">
    <w:abstractNumId w:val="1"/>
  </w:num>
  <w:num w:numId="5">
    <w:abstractNumId w:val="5"/>
  </w:num>
  <w:num w:numId="6">
    <w:abstractNumId w:val="4"/>
  </w:num>
  <w:num w:numId="7">
    <w:abstractNumId w:val="11"/>
  </w:num>
  <w:num w:numId="8">
    <w:abstractNumId w:val="7"/>
  </w:num>
  <w:num w:numId="9">
    <w:abstractNumId w:val="6"/>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D1"/>
    <w:rsid w:val="00016516"/>
    <w:rsid w:val="00016B0E"/>
    <w:rsid w:val="00025094"/>
    <w:rsid w:val="000321DD"/>
    <w:rsid w:val="0003286A"/>
    <w:rsid w:val="000349CF"/>
    <w:rsid w:val="00050CD9"/>
    <w:rsid w:val="00056782"/>
    <w:rsid w:val="000577AA"/>
    <w:rsid w:val="00081E61"/>
    <w:rsid w:val="00083870"/>
    <w:rsid w:val="000964E2"/>
    <w:rsid w:val="000A5030"/>
    <w:rsid w:val="000A68BA"/>
    <w:rsid w:val="000B036B"/>
    <w:rsid w:val="000B5D11"/>
    <w:rsid w:val="000C29A1"/>
    <w:rsid w:val="000C3EA5"/>
    <w:rsid w:val="000D51A0"/>
    <w:rsid w:val="000D5D71"/>
    <w:rsid w:val="000D7784"/>
    <w:rsid w:val="000E48AA"/>
    <w:rsid w:val="000E55D1"/>
    <w:rsid w:val="000E67CD"/>
    <w:rsid w:val="00101016"/>
    <w:rsid w:val="00104A1B"/>
    <w:rsid w:val="001061E2"/>
    <w:rsid w:val="001135AF"/>
    <w:rsid w:val="001521EE"/>
    <w:rsid w:val="00163C2F"/>
    <w:rsid w:val="00177D21"/>
    <w:rsid w:val="00185437"/>
    <w:rsid w:val="001868DC"/>
    <w:rsid w:val="001A575E"/>
    <w:rsid w:val="001B42F6"/>
    <w:rsid w:val="001C5E3D"/>
    <w:rsid w:val="001C686A"/>
    <w:rsid w:val="001D1377"/>
    <w:rsid w:val="001E08D4"/>
    <w:rsid w:val="001E3F47"/>
    <w:rsid w:val="001E5D56"/>
    <w:rsid w:val="001F5282"/>
    <w:rsid w:val="00202736"/>
    <w:rsid w:val="00213808"/>
    <w:rsid w:val="00222E50"/>
    <w:rsid w:val="00230DAB"/>
    <w:rsid w:val="00231057"/>
    <w:rsid w:val="00234A80"/>
    <w:rsid w:val="00235258"/>
    <w:rsid w:val="002365C4"/>
    <w:rsid w:val="00241338"/>
    <w:rsid w:val="00241747"/>
    <w:rsid w:val="00254BB0"/>
    <w:rsid w:val="00267EB9"/>
    <w:rsid w:val="00270F2F"/>
    <w:rsid w:val="002711FC"/>
    <w:rsid w:val="00274004"/>
    <w:rsid w:val="00283ADC"/>
    <w:rsid w:val="0029377E"/>
    <w:rsid w:val="00295F7F"/>
    <w:rsid w:val="002A6BF8"/>
    <w:rsid w:val="002B6472"/>
    <w:rsid w:val="002B74DE"/>
    <w:rsid w:val="002C7F0C"/>
    <w:rsid w:val="002E376D"/>
    <w:rsid w:val="002E4BF7"/>
    <w:rsid w:val="002F02AD"/>
    <w:rsid w:val="002F2404"/>
    <w:rsid w:val="002F79F9"/>
    <w:rsid w:val="00300391"/>
    <w:rsid w:val="00311622"/>
    <w:rsid w:val="003272BA"/>
    <w:rsid w:val="00335988"/>
    <w:rsid w:val="00336E3D"/>
    <w:rsid w:val="0034767B"/>
    <w:rsid w:val="003535C0"/>
    <w:rsid w:val="00362CB1"/>
    <w:rsid w:val="00374313"/>
    <w:rsid w:val="003873F4"/>
    <w:rsid w:val="003A49C7"/>
    <w:rsid w:val="003A75EC"/>
    <w:rsid w:val="003B02F0"/>
    <w:rsid w:val="003B27DF"/>
    <w:rsid w:val="003C18A9"/>
    <w:rsid w:val="003C5B13"/>
    <w:rsid w:val="003D2CBE"/>
    <w:rsid w:val="003D6A3C"/>
    <w:rsid w:val="003D7064"/>
    <w:rsid w:val="003F145C"/>
    <w:rsid w:val="003F2673"/>
    <w:rsid w:val="00413094"/>
    <w:rsid w:val="00417C36"/>
    <w:rsid w:val="00420912"/>
    <w:rsid w:val="00420A21"/>
    <w:rsid w:val="00422CAF"/>
    <w:rsid w:val="00433430"/>
    <w:rsid w:val="00434F7E"/>
    <w:rsid w:val="00461C0A"/>
    <w:rsid w:val="00475A5D"/>
    <w:rsid w:val="00481C0E"/>
    <w:rsid w:val="00484E38"/>
    <w:rsid w:val="00492DDB"/>
    <w:rsid w:val="00493991"/>
    <w:rsid w:val="004967C2"/>
    <w:rsid w:val="004A6737"/>
    <w:rsid w:val="004C1849"/>
    <w:rsid w:val="004D5CD1"/>
    <w:rsid w:val="004D75E1"/>
    <w:rsid w:val="004D7E6B"/>
    <w:rsid w:val="004E512C"/>
    <w:rsid w:val="004F737F"/>
    <w:rsid w:val="005239ED"/>
    <w:rsid w:val="00525485"/>
    <w:rsid w:val="00531BD2"/>
    <w:rsid w:val="00533DF7"/>
    <w:rsid w:val="00557A40"/>
    <w:rsid w:val="005A0089"/>
    <w:rsid w:val="005A50E5"/>
    <w:rsid w:val="005B47CD"/>
    <w:rsid w:val="005C2215"/>
    <w:rsid w:val="005D443C"/>
    <w:rsid w:val="005E0138"/>
    <w:rsid w:val="005E2C62"/>
    <w:rsid w:val="00613A03"/>
    <w:rsid w:val="006375C9"/>
    <w:rsid w:val="00643D6B"/>
    <w:rsid w:val="00644581"/>
    <w:rsid w:val="00666FCA"/>
    <w:rsid w:val="00670BE3"/>
    <w:rsid w:val="00695B45"/>
    <w:rsid w:val="00696B70"/>
    <w:rsid w:val="00696B73"/>
    <w:rsid w:val="006B3DC1"/>
    <w:rsid w:val="006B6BF2"/>
    <w:rsid w:val="006C068F"/>
    <w:rsid w:val="006C1717"/>
    <w:rsid w:val="006C2039"/>
    <w:rsid w:val="006C2752"/>
    <w:rsid w:val="006C62E2"/>
    <w:rsid w:val="006D149C"/>
    <w:rsid w:val="006D42BC"/>
    <w:rsid w:val="006E3407"/>
    <w:rsid w:val="006F49C2"/>
    <w:rsid w:val="00701E15"/>
    <w:rsid w:val="00704221"/>
    <w:rsid w:val="007115B0"/>
    <w:rsid w:val="0071393A"/>
    <w:rsid w:val="00714F18"/>
    <w:rsid w:val="00732702"/>
    <w:rsid w:val="007423B7"/>
    <w:rsid w:val="007449D0"/>
    <w:rsid w:val="0075500A"/>
    <w:rsid w:val="00777F8D"/>
    <w:rsid w:val="00794F63"/>
    <w:rsid w:val="007B06AC"/>
    <w:rsid w:val="007B15C8"/>
    <w:rsid w:val="007C1219"/>
    <w:rsid w:val="007C283C"/>
    <w:rsid w:val="007D01A6"/>
    <w:rsid w:val="007E4FA2"/>
    <w:rsid w:val="00802413"/>
    <w:rsid w:val="00805583"/>
    <w:rsid w:val="0082635B"/>
    <w:rsid w:val="00834FC5"/>
    <w:rsid w:val="00843F84"/>
    <w:rsid w:val="008654CA"/>
    <w:rsid w:val="00884155"/>
    <w:rsid w:val="00887584"/>
    <w:rsid w:val="00893EE5"/>
    <w:rsid w:val="00897E6F"/>
    <w:rsid w:val="008D4A0D"/>
    <w:rsid w:val="0090030F"/>
    <w:rsid w:val="009029D1"/>
    <w:rsid w:val="00917F0F"/>
    <w:rsid w:val="00924933"/>
    <w:rsid w:val="00925A61"/>
    <w:rsid w:val="00926262"/>
    <w:rsid w:val="00932A6B"/>
    <w:rsid w:val="00954705"/>
    <w:rsid w:val="00960985"/>
    <w:rsid w:val="00961140"/>
    <w:rsid w:val="009669A6"/>
    <w:rsid w:val="00980CD3"/>
    <w:rsid w:val="009850FD"/>
    <w:rsid w:val="009965F2"/>
    <w:rsid w:val="009A4E9C"/>
    <w:rsid w:val="009A5696"/>
    <w:rsid w:val="009B764F"/>
    <w:rsid w:val="009C27A0"/>
    <w:rsid w:val="009C55D3"/>
    <w:rsid w:val="009C77DD"/>
    <w:rsid w:val="009D0F80"/>
    <w:rsid w:val="009D7487"/>
    <w:rsid w:val="00A07D19"/>
    <w:rsid w:val="00A10915"/>
    <w:rsid w:val="00A230D5"/>
    <w:rsid w:val="00A2314D"/>
    <w:rsid w:val="00A3327F"/>
    <w:rsid w:val="00A44929"/>
    <w:rsid w:val="00A7261B"/>
    <w:rsid w:val="00A738EE"/>
    <w:rsid w:val="00A93A77"/>
    <w:rsid w:val="00AD2869"/>
    <w:rsid w:val="00AE3917"/>
    <w:rsid w:val="00B008AF"/>
    <w:rsid w:val="00B01B97"/>
    <w:rsid w:val="00B02E60"/>
    <w:rsid w:val="00B07379"/>
    <w:rsid w:val="00B07700"/>
    <w:rsid w:val="00B110DD"/>
    <w:rsid w:val="00B11270"/>
    <w:rsid w:val="00B13A4A"/>
    <w:rsid w:val="00B24140"/>
    <w:rsid w:val="00B24932"/>
    <w:rsid w:val="00B457A4"/>
    <w:rsid w:val="00B467A2"/>
    <w:rsid w:val="00B503B4"/>
    <w:rsid w:val="00B50E69"/>
    <w:rsid w:val="00B57685"/>
    <w:rsid w:val="00B60440"/>
    <w:rsid w:val="00B75B9E"/>
    <w:rsid w:val="00BA0368"/>
    <w:rsid w:val="00BA082D"/>
    <w:rsid w:val="00BA1312"/>
    <w:rsid w:val="00BA7352"/>
    <w:rsid w:val="00BB636C"/>
    <w:rsid w:val="00BD54C6"/>
    <w:rsid w:val="00BD7363"/>
    <w:rsid w:val="00BD7E3A"/>
    <w:rsid w:val="00BE5090"/>
    <w:rsid w:val="00BE6220"/>
    <w:rsid w:val="00BE77A4"/>
    <w:rsid w:val="00BF0EAF"/>
    <w:rsid w:val="00BF3211"/>
    <w:rsid w:val="00BF6B38"/>
    <w:rsid w:val="00BF6E63"/>
    <w:rsid w:val="00C0203F"/>
    <w:rsid w:val="00C03AB4"/>
    <w:rsid w:val="00C07E07"/>
    <w:rsid w:val="00C11824"/>
    <w:rsid w:val="00C13F97"/>
    <w:rsid w:val="00C16CCF"/>
    <w:rsid w:val="00C20486"/>
    <w:rsid w:val="00C21AC7"/>
    <w:rsid w:val="00C27C22"/>
    <w:rsid w:val="00C30FDC"/>
    <w:rsid w:val="00C3120D"/>
    <w:rsid w:val="00C44F31"/>
    <w:rsid w:val="00C46A62"/>
    <w:rsid w:val="00C60A79"/>
    <w:rsid w:val="00C87529"/>
    <w:rsid w:val="00C97192"/>
    <w:rsid w:val="00C9773E"/>
    <w:rsid w:val="00CC5A88"/>
    <w:rsid w:val="00CC7DCC"/>
    <w:rsid w:val="00CD4390"/>
    <w:rsid w:val="00CF482F"/>
    <w:rsid w:val="00CF560F"/>
    <w:rsid w:val="00D04B21"/>
    <w:rsid w:val="00D24D45"/>
    <w:rsid w:val="00D32FD8"/>
    <w:rsid w:val="00D34211"/>
    <w:rsid w:val="00D374FF"/>
    <w:rsid w:val="00D377CC"/>
    <w:rsid w:val="00D4133B"/>
    <w:rsid w:val="00D41DAC"/>
    <w:rsid w:val="00D46C18"/>
    <w:rsid w:val="00D70411"/>
    <w:rsid w:val="00D72C91"/>
    <w:rsid w:val="00D91515"/>
    <w:rsid w:val="00D92DF6"/>
    <w:rsid w:val="00DA17C3"/>
    <w:rsid w:val="00DA6A34"/>
    <w:rsid w:val="00DB2DA1"/>
    <w:rsid w:val="00DB4584"/>
    <w:rsid w:val="00DB4A91"/>
    <w:rsid w:val="00DB7685"/>
    <w:rsid w:val="00DC06AB"/>
    <w:rsid w:val="00DC1210"/>
    <w:rsid w:val="00DC2806"/>
    <w:rsid w:val="00DD4F99"/>
    <w:rsid w:val="00DE1EB4"/>
    <w:rsid w:val="00DF006A"/>
    <w:rsid w:val="00DF161A"/>
    <w:rsid w:val="00E021AC"/>
    <w:rsid w:val="00E03A47"/>
    <w:rsid w:val="00E07B63"/>
    <w:rsid w:val="00E21ECF"/>
    <w:rsid w:val="00E22CF5"/>
    <w:rsid w:val="00E44B89"/>
    <w:rsid w:val="00E46DA5"/>
    <w:rsid w:val="00E537BD"/>
    <w:rsid w:val="00E556A6"/>
    <w:rsid w:val="00E6747D"/>
    <w:rsid w:val="00E70829"/>
    <w:rsid w:val="00E80AEC"/>
    <w:rsid w:val="00E85E30"/>
    <w:rsid w:val="00E9518D"/>
    <w:rsid w:val="00EB6906"/>
    <w:rsid w:val="00EC0CC5"/>
    <w:rsid w:val="00EC7C18"/>
    <w:rsid w:val="00EE3EB9"/>
    <w:rsid w:val="00EE78C7"/>
    <w:rsid w:val="00EF7DDD"/>
    <w:rsid w:val="00F12840"/>
    <w:rsid w:val="00F16F76"/>
    <w:rsid w:val="00F1757E"/>
    <w:rsid w:val="00F17D93"/>
    <w:rsid w:val="00F207D0"/>
    <w:rsid w:val="00F252CB"/>
    <w:rsid w:val="00F317BA"/>
    <w:rsid w:val="00F35135"/>
    <w:rsid w:val="00F36770"/>
    <w:rsid w:val="00F4200C"/>
    <w:rsid w:val="00F509B0"/>
    <w:rsid w:val="00F5589D"/>
    <w:rsid w:val="00F60679"/>
    <w:rsid w:val="00F67D1E"/>
    <w:rsid w:val="00F67DAF"/>
    <w:rsid w:val="00F73A0D"/>
    <w:rsid w:val="00F75512"/>
    <w:rsid w:val="00F810CB"/>
    <w:rsid w:val="00F8631C"/>
    <w:rsid w:val="00F926A9"/>
    <w:rsid w:val="00F937C4"/>
    <w:rsid w:val="00FC00AA"/>
    <w:rsid w:val="00FC6D21"/>
    <w:rsid w:val="00FE06FB"/>
    <w:rsid w:val="00FF3AF5"/>
    <w:rsid w:val="00FF4A59"/>
    <w:rsid w:val="00FF5680"/>
    <w:rsid w:val="00FF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951D"/>
  <w15:chartTrackingRefBased/>
  <w15:docId w15:val="{ECD26424-48A1-4A3A-8797-FC429165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D1"/>
  </w:style>
  <w:style w:type="paragraph" w:styleId="Heading1">
    <w:name w:val="heading 1"/>
    <w:basedOn w:val="Normal"/>
    <w:next w:val="Normal"/>
    <w:link w:val="Heading1Char"/>
    <w:uiPriority w:val="9"/>
    <w:qFormat/>
    <w:rsid w:val="004939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39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4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9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399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93991"/>
    <w:rPr>
      <w:sz w:val="16"/>
      <w:szCs w:val="16"/>
    </w:rPr>
  </w:style>
  <w:style w:type="paragraph" w:styleId="CommentText">
    <w:name w:val="annotation text"/>
    <w:basedOn w:val="Normal"/>
    <w:link w:val="CommentTextChar"/>
    <w:uiPriority w:val="99"/>
    <w:semiHidden/>
    <w:unhideWhenUsed/>
    <w:rsid w:val="00493991"/>
    <w:pPr>
      <w:spacing w:line="240" w:lineRule="auto"/>
    </w:pPr>
    <w:rPr>
      <w:sz w:val="20"/>
      <w:szCs w:val="20"/>
    </w:rPr>
  </w:style>
  <w:style w:type="character" w:customStyle="1" w:styleId="CommentTextChar">
    <w:name w:val="Comment Text Char"/>
    <w:basedOn w:val="DefaultParagraphFont"/>
    <w:link w:val="CommentText"/>
    <w:uiPriority w:val="99"/>
    <w:semiHidden/>
    <w:rsid w:val="00493991"/>
    <w:rPr>
      <w:sz w:val="20"/>
      <w:szCs w:val="20"/>
    </w:rPr>
  </w:style>
  <w:style w:type="paragraph" w:styleId="CommentSubject">
    <w:name w:val="annotation subject"/>
    <w:basedOn w:val="CommentText"/>
    <w:next w:val="CommentText"/>
    <w:link w:val="CommentSubjectChar"/>
    <w:uiPriority w:val="99"/>
    <w:semiHidden/>
    <w:unhideWhenUsed/>
    <w:rsid w:val="00493991"/>
    <w:rPr>
      <w:b/>
      <w:bCs/>
    </w:rPr>
  </w:style>
  <w:style w:type="character" w:customStyle="1" w:styleId="CommentSubjectChar">
    <w:name w:val="Comment Subject Char"/>
    <w:basedOn w:val="CommentTextChar"/>
    <w:link w:val="CommentSubject"/>
    <w:uiPriority w:val="99"/>
    <w:semiHidden/>
    <w:rsid w:val="00493991"/>
    <w:rPr>
      <w:b/>
      <w:bCs/>
      <w:sz w:val="20"/>
      <w:szCs w:val="20"/>
    </w:rPr>
  </w:style>
  <w:style w:type="paragraph" w:styleId="BalloonText">
    <w:name w:val="Balloon Text"/>
    <w:basedOn w:val="Normal"/>
    <w:link w:val="BalloonTextChar"/>
    <w:uiPriority w:val="99"/>
    <w:semiHidden/>
    <w:unhideWhenUsed/>
    <w:rsid w:val="00493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91"/>
    <w:rPr>
      <w:rFonts w:ascii="Segoe UI" w:hAnsi="Segoe UI" w:cs="Segoe UI"/>
      <w:sz w:val="18"/>
      <w:szCs w:val="18"/>
    </w:rPr>
  </w:style>
  <w:style w:type="paragraph" w:styleId="ListParagraph">
    <w:name w:val="List Paragraph"/>
    <w:basedOn w:val="Normal"/>
    <w:uiPriority w:val="1"/>
    <w:qFormat/>
    <w:rsid w:val="00493991"/>
    <w:pPr>
      <w:ind w:left="720"/>
      <w:contextualSpacing/>
    </w:pPr>
  </w:style>
  <w:style w:type="paragraph" w:customStyle="1" w:styleId="Default">
    <w:name w:val="Default"/>
    <w:rsid w:val="0049399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F482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1B42F6"/>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1B42F6"/>
    <w:rPr>
      <w:rFonts w:ascii="Calibri" w:eastAsia="Calibri" w:hAnsi="Calibri" w:cs="Calibri"/>
      <w:lang w:eastAsia="en-GB" w:bidi="en-GB"/>
    </w:rPr>
  </w:style>
  <w:style w:type="paragraph" w:styleId="PlainText">
    <w:name w:val="Plain Text"/>
    <w:basedOn w:val="Normal"/>
    <w:link w:val="PlainTextChar"/>
    <w:uiPriority w:val="99"/>
    <w:semiHidden/>
    <w:unhideWhenUsed/>
    <w:rsid w:val="00BB63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636C"/>
    <w:rPr>
      <w:rFonts w:ascii="Consolas" w:hAnsi="Consolas"/>
      <w:sz w:val="21"/>
      <w:szCs w:val="21"/>
    </w:rPr>
  </w:style>
  <w:style w:type="character" w:styleId="Hyperlink">
    <w:name w:val="Hyperlink"/>
    <w:basedOn w:val="DefaultParagraphFont"/>
    <w:uiPriority w:val="99"/>
    <w:unhideWhenUsed/>
    <w:rsid w:val="00696B73"/>
    <w:rPr>
      <w:color w:val="0563C1" w:themeColor="hyperlink"/>
      <w:u w:val="single"/>
    </w:rPr>
  </w:style>
  <w:style w:type="paragraph" w:styleId="Header">
    <w:name w:val="header"/>
    <w:basedOn w:val="Normal"/>
    <w:link w:val="HeaderChar"/>
    <w:uiPriority w:val="99"/>
    <w:unhideWhenUsed/>
    <w:rsid w:val="0098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CD3"/>
  </w:style>
  <w:style w:type="paragraph" w:styleId="Footer">
    <w:name w:val="footer"/>
    <w:basedOn w:val="Normal"/>
    <w:link w:val="FooterChar"/>
    <w:uiPriority w:val="99"/>
    <w:unhideWhenUsed/>
    <w:rsid w:val="0098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CD3"/>
  </w:style>
  <w:style w:type="paragraph" w:styleId="Quote">
    <w:name w:val="Quote"/>
    <w:basedOn w:val="Normal"/>
    <w:next w:val="Normal"/>
    <w:link w:val="QuoteChar"/>
    <w:uiPriority w:val="29"/>
    <w:qFormat/>
    <w:rsid w:val="00696B7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96B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3153">
      <w:bodyDiv w:val="1"/>
      <w:marLeft w:val="0"/>
      <w:marRight w:val="0"/>
      <w:marTop w:val="0"/>
      <w:marBottom w:val="0"/>
      <w:divBdr>
        <w:top w:val="none" w:sz="0" w:space="0" w:color="auto"/>
        <w:left w:val="none" w:sz="0" w:space="0" w:color="auto"/>
        <w:bottom w:val="none" w:sz="0" w:space="0" w:color="auto"/>
        <w:right w:val="none" w:sz="0" w:space="0" w:color="auto"/>
      </w:divBdr>
    </w:div>
    <w:div w:id="776949784">
      <w:bodyDiv w:val="1"/>
      <w:marLeft w:val="0"/>
      <w:marRight w:val="0"/>
      <w:marTop w:val="0"/>
      <w:marBottom w:val="0"/>
      <w:divBdr>
        <w:top w:val="none" w:sz="0" w:space="0" w:color="auto"/>
        <w:left w:val="none" w:sz="0" w:space="0" w:color="auto"/>
        <w:bottom w:val="none" w:sz="0" w:space="0" w:color="auto"/>
        <w:right w:val="none" w:sz="0" w:space="0" w:color="auto"/>
      </w:divBdr>
    </w:div>
    <w:div w:id="16625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kent.ac.uk/shared/SSPSSR/PSSRU_Shared/Unit%20Resources/General%20Information/Your%20Guide%20to%20Working%20at%20PSSRU/Your%20guide%20to%20working%20at%20PSSRU.pdf" TargetMode="External"/><Relationship Id="rId13" Type="http://schemas.openxmlformats.org/officeDocument/2006/relationships/hyperlink" Target="https://journals.sagepub.com/doi/abs/10.5153/sro.226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tsoc.co.uk/publications/guidelines-reports/authorship-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ublicationethics.org/files/2003pdf12.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j.com/about-bmj/resources-authors/article-submission/authorship-contributorship" TargetMode="External"/><Relationship Id="rId5" Type="http://schemas.openxmlformats.org/officeDocument/2006/relationships/webSettings" Target="webSettings.xml"/><Relationship Id="rId15" Type="http://schemas.openxmlformats.org/officeDocument/2006/relationships/hyperlink" Target="http://publicationethics.org/files/u2/04E_Author_Ghost_Guest_Gift.pdf" TargetMode="External"/><Relationship Id="rId10" Type="http://schemas.openxmlformats.org/officeDocument/2006/relationships/hyperlink" Target="http://www.ukrio.org/what-we-do/code-of-practice-for-re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nt.ac.uk/researchservices/res-govern-frmewrk/code-of-practice.html" TargetMode="External"/><Relationship Id="rId14" Type="http://schemas.openxmlformats.org/officeDocument/2006/relationships/hyperlink" Target="http://the-sra.org.uk/wp-content/uploads/ethics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864BF68-AE87-4118-BB2E-C1A4F728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Gousia</dc:creator>
  <cp:keywords/>
  <dc:description/>
  <cp:lastModifiedBy>Elizabeth Welch</cp:lastModifiedBy>
  <cp:revision>2</cp:revision>
  <dcterms:created xsi:type="dcterms:W3CDTF">2019-11-12T12:26:00Z</dcterms:created>
  <dcterms:modified xsi:type="dcterms:W3CDTF">2019-11-12T12:26:00Z</dcterms:modified>
</cp:coreProperties>
</file>