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7454" w14:textId="7A0FDF41" w:rsidR="00FF7412" w:rsidRPr="00BD6196" w:rsidRDefault="00D633E8" w:rsidP="00BD6196">
      <w:pPr>
        <w:spacing w:line="276" w:lineRule="auto"/>
        <w:rPr>
          <w:rFonts w:ascii="Arial" w:hAnsi="Arial" w:cs="Arial"/>
          <w:b/>
          <w:sz w:val="36"/>
        </w:rPr>
      </w:pPr>
      <w:r>
        <w:rPr>
          <w:rFonts w:ascii="Arial" w:hAnsi="Arial" w:cs="Arial"/>
          <w:b/>
          <w:sz w:val="36"/>
        </w:rPr>
        <w:t xml:space="preserve">NHS </w:t>
      </w:r>
      <w:r w:rsidR="008E59F2">
        <w:rPr>
          <w:rFonts w:ascii="Arial" w:hAnsi="Arial" w:cs="Arial"/>
          <w:b/>
          <w:sz w:val="36"/>
        </w:rPr>
        <w:t xml:space="preserve">Cost </w:t>
      </w:r>
      <w:r>
        <w:rPr>
          <w:rFonts w:ascii="Arial" w:hAnsi="Arial" w:cs="Arial"/>
          <w:b/>
          <w:sz w:val="36"/>
        </w:rPr>
        <w:t>Inflation</w:t>
      </w:r>
      <w:r w:rsidR="00FF7412" w:rsidRPr="00BD6196">
        <w:rPr>
          <w:rFonts w:ascii="Arial" w:hAnsi="Arial" w:cs="Arial"/>
          <w:b/>
          <w:sz w:val="36"/>
        </w:rPr>
        <w:t xml:space="preserve"> Index </w:t>
      </w:r>
    </w:p>
    <w:p w14:paraId="68F1A595" w14:textId="4AD47E0D" w:rsidR="00FF7412" w:rsidRPr="00BD6196" w:rsidRDefault="00FF7412" w:rsidP="00BD6196">
      <w:pPr>
        <w:spacing w:line="276" w:lineRule="auto"/>
        <w:rPr>
          <w:rFonts w:ascii="Arial" w:hAnsi="Arial" w:cs="Arial"/>
          <w:sz w:val="24"/>
        </w:rPr>
      </w:pPr>
    </w:p>
    <w:p w14:paraId="1550BD43" w14:textId="5B6AE33C" w:rsidR="00936454" w:rsidRPr="00BD6196" w:rsidRDefault="00936454" w:rsidP="00BD6196">
      <w:pPr>
        <w:spacing w:line="276" w:lineRule="auto"/>
        <w:rPr>
          <w:rFonts w:ascii="Arial" w:hAnsi="Arial" w:cs="Arial"/>
          <w:b/>
          <w:sz w:val="28"/>
        </w:rPr>
      </w:pPr>
      <w:r w:rsidRPr="00BD6196">
        <w:rPr>
          <w:rFonts w:ascii="Arial" w:hAnsi="Arial" w:cs="Arial"/>
          <w:b/>
          <w:sz w:val="28"/>
        </w:rPr>
        <w:t xml:space="preserve">Introduction </w:t>
      </w:r>
    </w:p>
    <w:p w14:paraId="59D99BC8" w14:textId="33906043" w:rsidR="00F75870" w:rsidRPr="00BD6196" w:rsidRDefault="008B6148"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Much like the rest of the economy, the NHS also faces inflation on the price it pays for </w:t>
      </w:r>
      <w:r w:rsidR="00F6198A" w:rsidRPr="00BD6196">
        <w:rPr>
          <w:rFonts w:ascii="Arial" w:hAnsi="Arial" w:cs="Arial"/>
          <w:sz w:val="24"/>
        </w:rPr>
        <w:t>different items of spend.</w:t>
      </w:r>
      <w:r w:rsidR="00355728" w:rsidRPr="00BD6196">
        <w:rPr>
          <w:rFonts w:ascii="Arial" w:hAnsi="Arial" w:cs="Arial"/>
          <w:sz w:val="24"/>
        </w:rPr>
        <w:t xml:space="preserve"> T</w:t>
      </w:r>
      <w:r w:rsidR="00F6198A" w:rsidRPr="00BD6196">
        <w:rPr>
          <w:rFonts w:ascii="Arial" w:hAnsi="Arial" w:cs="Arial"/>
          <w:sz w:val="24"/>
        </w:rPr>
        <w:t xml:space="preserve">he inflation NHS faces </w:t>
      </w:r>
      <w:r w:rsidR="00355728" w:rsidRPr="00BD6196">
        <w:rPr>
          <w:rFonts w:ascii="Arial" w:hAnsi="Arial" w:cs="Arial"/>
          <w:sz w:val="24"/>
        </w:rPr>
        <w:t xml:space="preserve">can be broadly split into a pay and non-pay category. </w:t>
      </w:r>
      <w:r w:rsidR="00F75870" w:rsidRPr="00BD6196">
        <w:rPr>
          <w:rFonts w:ascii="Arial" w:hAnsi="Arial" w:cs="Arial"/>
          <w:sz w:val="24"/>
        </w:rPr>
        <w:t>Pay inflation stems from c</w:t>
      </w:r>
      <w:r w:rsidR="00BA3CA9" w:rsidRPr="00BD6196">
        <w:rPr>
          <w:rFonts w:ascii="Arial" w:hAnsi="Arial" w:cs="Arial"/>
          <w:sz w:val="24"/>
        </w:rPr>
        <w:t>hanges in the</w:t>
      </w:r>
      <w:r w:rsidR="00355728" w:rsidRPr="00BD6196">
        <w:rPr>
          <w:rFonts w:ascii="Arial" w:hAnsi="Arial" w:cs="Arial"/>
          <w:sz w:val="24"/>
        </w:rPr>
        <w:t xml:space="preserve"> unit cost</w:t>
      </w:r>
      <w:r w:rsidR="007203DF" w:rsidRPr="00BD6196">
        <w:rPr>
          <w:rFonts w:ascii="Arial" w:hAnsi="Arial" w:cs="Arial"/>
          <w:sz w:val="24"/>
        </w:rPr>
        <w:t>s</w:t>
      </w:r>
      <w:r w:rsidR="00355728" w:rsidRPr="00BD6196">
        <w:rPr>
          <w:rFonts w:ascii="Arial" w:hAnsi="Arial" w:cs="Arial"/>
          <w:sz w:val="24"/>
        </w:rPr>
        <w:t xml:space="preserve"> NHS organisations pay for different staff groups </w:t>
      </w:r>
      <w:r w:rsidR="00F75870" w:rsidRPr="00BD6196">
        <w:rPr>
          <w:rFonts w:ascii="Arial" w:hAnsi="Arial" w:cs="Arial"/>
          <w:sz w:val="24"/>
        </w:rPr>
        <w:t>and non-pay inflation stems from changes in the price</w:t>
      </w:r>
      <w:r w:rsidR="007203DF" w:rsidRPr="00BD6196">
        <w:rPr>
          <w:rFonts w:ascii="Arial" w:hAnsi="Arial" w:cs="Arial"/>
          <w:sz w:val="24"/>
        </w:rPr>
        <w:t>s</w:t>
      </w:r>
      <w:r w:rsidR="00F75870" w:rsidRPr="00BD6196">
        <w:rPr>
          <w:rFonts w:ascii="Arial" w:hAnsi="Arial" w:cs="Arial"/>
          <w:sz w:val="24"/>
        </w:rPr>
        <w:t xml:space="preserve"> of good</w:t>
      </w:r>
      <w:r w:rsidR="007203DF" w:rsidRPr="00BD6196">
        <w:rPr>
          <w:rFonts w:ascii="Arial" w:hAnsi="Arial" w:cs="Arial"/>
          <w:sz w:val="24"/>
        </w:rPr>
        <w:t>s</w:t>
      </w:r>
      <w:r w:rsidR="00F75870" w:rsidRPr="00BD6196">
        <w:rPr>
          <w:rFonts w:ascii="Arial" w:hAnsi="Arial" w:cs="Arial"/>
          <w:sz w:val="24"/>
        </w:rPr>
        <w:t xml:space="preserve"> and services</w:t>
      </w:r>
      <w:r w:rsidR="007203DF" w:rsidRPr="00BD6196">
        <w:rPr>
          <w:rFonts w:ascii="Arial" w:hAnsi="Arial" w:cs="Arial"/>
          <w:sz w:val="24"/>
        </w:rPr>
        <w:t xml:space="preserve"> purchased by the NHS</w:t>
      </w:r>
      <w:r w:rsidR="00F75870" w:rsidRPr="00BD6196">
        <w:rPr>
          <w:rFonts w:ascii="Arial" w:hAnsi="Arial" w:cs="Arial"/>
          <w:sz w:val="24"/>
        </w:rPr>
        <w:t xml:space="preserve">, such as clinical supplies or transport costs. </w:t>
      </w:r>
    </w:p>
    <w:p w14:paraId="1C562666" w14:textId="77777777" w:rsidR="00C37B45" w:rsidRPr="00BD6196" w:rsidRDefault="00C37B45" w:rsidP="00BD6196">
      <w:pPr>
        <w:pStyle w:val="ListParagraph"/>
        <w:spacing w:line="276" w:lineRule="auto"/>
        <w:ind w:left="360"/>
        <w:rPr>
          <w:rFonts w:ascii="Arial" w:hAnsi="Arial" w:cs="Arial"/>
          <w:sz w:val="24"/>
        </w:rPr>
      </w:pPr>
    </w:p>
    <w:p w14:paraId="51FFA38E" w14:textId="21A280D4" w:rsidR="00C37B45" w:rsidRPr="00BD6196" w:rsidRDefault="00C37B45" w:rsidP="00BD6196">
      <w:pPr>
        <w:pStyle w:val="ListParagraph"/>
        <w:numPr>
          <w:ilvl w:val="0"/>
          <w:numId w:val="6"/>
        </w:numPr>
        <w:spacing w:line="276" w:lineRule="auto"/>
        <w:rPr>
          <w:rFonts w:ascii="Arial" w:hAnsi="Arial" w:cs="Arial"/>
          <w:sz w:val="24"/>
        </w:rPr>
      </w:pPr>
      <w:r w:rsidRPr="00BD6196">
        <w:rPr>
          <w:rFonts w:ascii="Arial" w:hAnsi="Arial" w:cs="Arial"/>
          <w:sz w:val="24"/>
        </w:rPr>
        <w:t>The size and scope of the NHS means it has a unique mix of inflationary factors</w:t>
      </w:r>
      <w:r w:rsidR="00057439">
        <w:rPr>
          <w:rFonts w:ascii="Arial" w:hAnsi="Arial" w:cs="Arial"/>
          <w:sz w:val="24"/>
        </w:rPr>
        <w:t xml:space="preserve">, </w:t>
      </w:r>
      <w:r w:rsidRPr="00BD6196">
        <w:rPr>
          <w:rFonts w:ascii="Arial" w:hAnsi="Arial" w:cs="Arial"/>
          <w:sz w:val="24"/>
        </w:rPr>
        <w:t xml:space="preserve">but there is no single measure of the inflation experienced within the NHS. The Department of Health and Social Care, in conjunction with the Office for National Statistics, have worked with NHS and University of York to address this gap, creating a new granular measure of NHS inflation.  </w:t>
      </w:r>
    </w:p>
    <w:p w14:paraId="3DD63330" w14:textId="2A42A5A6" w:rsidR="00355728" w:rsidRPr="00BD6196" w:rsidRDefault="00355728" w:rsidP="00BD6196">
      <w:pPr>
        <w:pStyle w:val="ListParagraph"/>
        <w:spacing w:line="276" w:lineRule="auto"/>
        <w:ind w:left="360"/>
        <w:rPr>
          <w:rFonts w:ascii="Arial" w:hAnsi="Arial" w:cs="Arial"/>
          <w:sz w:val="24"/>
        </w:rPr>
      </w:pPr>
    </w:p>
    <w:p w14:paraId="23DFAE45" w14:textId="72350EAB" w:rsidR="00EE4736" w:rsidRPr="00BD6196" w:rsidRDefault="00D2508B" w:rsidP="00BD6196">
      <w:pPr>
        <w:pStyle w:val="ListParagraph"/>
        <w:numPr>
          <w:ilvl w:val="0"/>
          <w:numId w:val="6"/>
        </w:numPr>
        <w:spacing w:line="276" w:lineRule="auto"/>
        <w:rPr>
          <w:rFonts w:ascii="Arial" w:hAnsi="Arial" w:cs="Arial"/>
          <w:sz w:val="24"/>
        </w:rPr>
      </w:pPr>
      <w:r w:rsidRPr="00BD6196">
        <w:rPr>
          <w:rFonts w:ascii="Arial" w:hAnsi="Arial" w:cs="Arial"/>
          <w:sz w:val="24"/>
        </w:rPr>
        <w:t>Until 2017/18</w:t>
      </w:r>
      <w:r w:rsidR="00057439">
        <w:rPr>
          <w:rFonts w:ascii="Arial" w:hAnsi="Arial" w:cs="Arial"/>
          <w:sz w:val="24"/>
        </w:rPr>
        <w:t>,</w:t>
      </w:r>
      <w:r w:rsidRPr="00BD6196">
        <w:rPr>
          <w:rFonts w:ascii="Arial" w:hAnsi="Arial" w:cs="Arial"/>
          <w:sz w:val="24"/>
        </w:rPr>
        <w:t xml:space="preserve"> inflation faced by</w:t>
      </w:r>
      <w:r w:rsidR="00412CA8" w:rsidRPr="00BD6196">
        <w:rPr>
          <w:rFonts w:ascii="Arial" w:hAnsi="Arial" w:cs="Arial"/>
          <w:sz w:val="24"/>
        </w:rPr>
        <w:t xml:space="preserve"> the</w:t>
      </w:r>
      <w:r w:rsidRPr="00BD6196">
        <w:rPr>
          <w:rFonts w:ascii="Arial" w:hAnsi="Arial" w:cs="Arial"/>
          <w:sz w:val="24"/>
        </w:rPr>
        <w:t xml:space="preserve"> NHS was measured by the Hospital and Community Health Services (HCHS) Index. The HCHS was a weighted average of two separate inflation indices, the Pay Cost Index (PCI) which measured pay inflation and the Health Service Cost Index (HSCI) which measured non-pay inflation. The Pay Cost Index and the Health Service Cost Index were weighted </w:t>
      </w:r>
      <w:r w:rsidR="00412CA8" w:rsidRPr="00BD6196">
        <w:rPr>
          <w:rFonts w:ascii="Arial" w:hAnsi="Arial" w:cs="Arial"/>
          <w:sz w:val="24"/>
        </w:rPr>
        <w:t>by</w:t>
      </w:r>
      <w:r w:rsidRPr="00BD6196">
        <w:rPr>
          <w:rFonts w:ascii="Arial" w:hAnsi="Arial" w:cs="Arial"/>
          <w:sz w:val="24"/>
        </w:rPr>
        <w:t xml:space="preserve"> the proportion of HCHS expenditure on each. </w:t>
      </w:r>
    </w:p>
    <w:p w14:paraId="7463525F" w14:textId="77777777" w:rsidR="00EE4736" w:rsidRPr="00BD6196" w:rsidRDefault="00EE4736" w:rsidP="00BD6196">
      <w:pPr>
        <w:pStyle w:val="ListParagraph"/>
        <w:spacing w:line="276" w:lineRule="auto"/>
        <w:ind w:left="360"/>
        <w:rPr>
          <w:rFonts w:ascii="Arial" w:hAnsi="Arial" w:cs="Arial"/>
          <w:sz w:val="24"/>
        </w:rPr>
      </w:pPr>
    </w:p>
    <w:p w14:paraId="1CE55976" w14:textId="214E18AD" w:rsidR="00E15771" w:rsidRPr="00BD6196" w:rsidRDefault="00EE4736"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 HCHS index </w:t>
      </w:r>
      <w:r w:rsidR="007203DF" w:rsidRPr="00BD6196">
        <w:rPr>
          <w:rFonts w:ascii="Arial" w:hAnsi="Arial" w:cs="Arial"/>
          <w:sz w:val="24"/>
        </w:rPr>
        <w:t>had many applications</w:t>
      </w:r>
      <w:r w:rsidRPr="00BD6196">
        <w:rPr>
          <w:rFonts w:ascii="Arial" w:hAnsi="Arial" w:cs="Arial"/>
          <w:sz w:val="24"/>
        </w:rPr>
        <w:t xml:space="preserve"> across departments to adjust for NHS inflation. For example, to deflate NHS spend for the calculation of productivity and efficiency (</w:t>
      </w:r>
      <w:r w:rsidR="00936454" w:rsidRPr="00BD6196">
        <w:rPr>
          <w:rFonts w:ascii="Arial" w:hAnsi="Arial" w:cs="Arial"/>
          <w:sz w:val="24"/>
        </w:rPr>
        <w:t>output/input)</w:t>
      </w:r>
      <w:r w:rsidRPr="00BD6196">
        <w:rPr>
          <w:rFonts w:ascii="Arial" w:hAnsi="Arial" w:cs="Arial"/>
          <w:sz w:val="24"/>
        </w:rPr>
        <w:t xml:space="preserve">. </w:t>
      </w:r>
      <w:r w:rsidR="00936454" w:rsidRPr="00BD6196">
        <w:rPr>
          <w:rFonts w:ascii="Arial" w:hAnsi="Arial" w:cs="Arial"/>
          <w:sz w:val="24"/>
        </w:rPr>
        <w:t xml:space="preserve">However, the HCHS index was </w:t>
      </w:r>
      <w:r w:rsidRPr="00BD6196">
        <w:rPr>
          <w:rFonts w:ascii="Arial" w:hAnsi="Arial" w:cs="Arial"/>
          <w:sz w:val="24"/>
        </w:rPr>
        <w:t xml:space="preserve">discontinued in 2016/17 due to lack of resources. This left a gap </w:t>
      </w:r>
      <w:r w:rsidR="00936454" w:rsidRPr="00BD6196">
        <w:rPr>
          <w:rFonts w:ascii="Arial" w:hAnsi="Arial" w:cs="Arial"/>
          <w:sz w:val="24"/>
        </w:rPr>
        <w:t>for a measure of NHS inflation.</w:t>
      </w:r>
    </w:p>
    <w:p w14:paraId="25A5BE77" w14:textId="7880A529" w:rsidR="00E15771" w:rsidRDefault="00E15771" w:rsidP="00BD6196">
      <w:pPr>
        <w:pStyle w:val="ListParagraph"/>
        <w:spacing w:line="276" w:lineRule="auto"/>
        <w:ind w:left="0"/>
        <w:rPr>
          <w:rFonts w:ascii="Arial" w:hAnsi="Arial" w:cs="Arial"/>
          <w:sz w:val="24"/>
        </w:rPr>
      </w:pPr>
    </w:p>
    <w:p w14:paraId="328055EE" w14:textId="60969E9D" w:rsidR="00E15771" w:rsidRPr="00BD6196" w:rsidRDefault="00E15771" w:rsidP="00BD6196">
      <w:pPr>
        <w:pStyle w:val="ListParagraph"/>
        <w:spacing w:line="276" w:lineRule="auto"/>
        <w:ind w:left="0"/>
        <w:rPr>
          <w:rFonts w:ascii="Arial" w:hAnsi="Arial" w:cs="Arial"/>
          <w:b/>
          <w:sz w:val="28"/>
        </w:rPr>
      </w:pPr>
      <w:r w:rsidRPr="00BD6196">
        <w:rPr>
          <w:rFonts w:ascii="Arial" w:hAnsi="Arial" w:cs="Arial"/>
          <w:b/>
          <w:sz w:val="28"/>
        </w:rPr>
        <w:t xml:space="preserve">Scope </w:t>
      </w:r>
    </w:p>
    <w:p w14:paraId="4CCEC008" w14:textId="1F492FC9" w:rsidR="00E15771" w:rsidRPr="00BD6196" w:rsidRDefault="00E15771"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 NHS has </w:t>
      </w:r>
      <w:r w:rsidR="009161BA">
        <w:rPr>
          <w:rFonts w:ascii="Arial" w:hAnsi="Arial" w:cs="Arial"/>
          <w:sz w:val="24"/>
        </w:rPr>
        <w:t>four</w:t>
      </w:r>
      <w:r w:rsidRPr="00BD6196">
        <w:rPr>
          <w:rFonts w:ascii="Arial" w:hAnsi="Arial" w:cs="Arial"/>
          <w:sz w:val="24"/>
        </w:rPr>
        <w:t xml:space="preserve"> </w:t>
      </w:r>
      <w:r w:rsidR="00BD6196" w:rsidRPr="00BD6196">
        <w:rPr>
          <w:rFonts w:ascii="Arial" w:hAnsi="Arial" w:cs="Arial"/>
          <w:sz w:val="24"/>
        </w:rPr>
        <w:t>broad</w:t>
      </w:r>
      <w:r w:rsidRPr="00BD6196">
        <w:rPr>
          <w:rFonts w:ascii="Arial" w:hAnsi="Arial" w:cs="Arial"/>
          <w:sz w:val="24"/>
        </w:rPr>
        <w:t xml:space="preserve"> areas of spend</w:t>
      </w:r>
      <w:r w:rsidR="009161BA">
        <w:rPr>
          <w:rFonts w:ascii="Arial" w:hAnsi="Arial" w:cs="Arial"/>
          <w:sz w:val="24"/>
        </w:rPr>
        <w:t xml:space="preserve"> that we have inflation data for: </w:t>
      </w:r>
    </w:p>
    <w:p w14:paraId="0D4FE347" w14:textId="1CABFEAC" w:rsidR="00E15771" w:rsidRPr="00BD6196" w:rsidRDefault="00E15771" w:rsidP="00BD6196">
      <w:pPr>
        <w:pStyle w:val="ListParagraph"/>
        <w:spacing w:line="276" w:lineRule="auto"/>
        <w:ind w:left="0"/>
        <w:rPr>
          <w:rFonts w:ascii="Arial" w:hAnsi="Arial" w:cs="Arial"/>
          <w:sz w:val="24"/>
        </w:rPr>
      </w:pPr>
    </w:p>
    <w:p w14:paraId="4F98F202" w14:textId="2D13EE78" w:rsidR="00BD6196" w:rsidRPr="00BD6196" w:rsidRDefault="00BD6196" w:rsidP="00126EB2">
      <w:pPr>
        <w:pStyle w:val="ListParagraph"/>
        <w:spacing w:after="0" w:line="276" w:lineRule="auto"/>
        <w:ind w:left="0"/>
        <w:jc w:val="center"/>
        <w:rPr>
          <w:rFonts w:ascii="Arial" w:hAnsi="Arial" w:cs="Arial"/>
          <w:sz w:val="24"/>
          <w:u w:val="single"/>
        </w:rPr>
      </w:pPr>
      <w:r w:rsidRPr="00BD6196">
        <w:rPr>
          <w:rFonts w:ascii="Arial" w:hAnsi="Arial" w:cs="Arial"/>
          <w:sz w:val="24"/>
          <w:u w:val="single"/>
        </w:rPr>
        <w:t>Table 1: NHS broad areas of spend</w:t>
      </w:r>
      <w:r w:rsidR="00FA0F21">
        <w:rPr>
          <w:rFonts w:ascii="Arial" w:hAnsi="Arial" w:cs="Arial"/>
          <w:sz w:val="24"/>
          <w:u w:val="single"/>
        </w:rPr>
        <w:t xml:space="preserve"> (£b)</w:t>
      </w:r>
    </w:p>
    <w:tbl>
      <w:tblPr>
        <w:tblStyle w:val="TableGrid"/>
        <w:tblW w:w="0" w:type="auto"/>
        <w:jc w:val="center"/>
        <w:tblLook w:val="04A0" w:firstRow="1" w:lastRow="0" w:firstColumn="1" w:lastColumn="0" w:noHBand="0" w:noVBand="1"/>
      </w:tblPr>
      <w:tblGrid>
        <w:gridCol w:w="2122"/>
        <w:gridCol w:w="795"/>
        <w:gridCol w:w="728"/>
        <w:gridCol w:w="813"/>
        <w:gridCol w:w="728"/>
        <w:gridCol w:w="795"/>
        <w:gridCol w:w="728"/>
        <w:gridCol w:w="897"/>
        <w:gridCol w:w="798"/>
      </w:tblGrid>
      <w:tr w:rsidR="009161BA" w:rsidRPr="009161BA" w14:paraId="072579FB" w14:textId="77777777" w:rsidTr="0050412C">
        <w:trPr>
          <w:trHeight w:val="313"/>
          <w:jc w:val="center"/>
        </w:trPr>
        <w:tc>
          <w:tcPr>
            <w:tcW w:w="2122" w:type="dxa"/>
            <w:vMerge w:val="restart"/>
            <w:noWrap/>
            <w:hideMark/>
          </w:tcPr>
          <w:p w14:paraId="7D24B57B" w14:textId="77777777" w:rsidR="009161BA" w:rsidRPr="009161BA" w:rsidRDefault="009161BA" w:rsidP="009161BA">
            <w:pPr>
              <w:spacing w:line="276" w:lineRule="auto"/>
              <w:rPr>
                <w:rFonts w:ascii="Arial" w:hAnsi="Arial" w:cs="Arial"/>
                <w:b/>
                <w:bCs/>
                <w:sz w:val="20"/>
                <w:szCs w:val="24"/>
              </w:rPr>
            </w:pPr>
            <w:r w:rsidRPr="009161BA">
              <w:rPr>
                <w:rFonts w:ascii="Arial" w:hAnsi="Arial" w:cs="Arial"/>
                <w:b/>
                <w:bCs/>
                <w:sz w:val="20"/>
                <w:szCs w:val="24"/>
              </w:rPr>
              <w:t> </w:t>
            </w:r>
          </w:p>
        </w:tc>
        <w:tc>
          <w:tcPr>
            <w:tcW w:w="1149" w:type="dxa"/>
            <w:gridSpan w:val="2"/>
            <w:noWrap/>
            <w:hideMark/>
          </w:tcPr>
          <w:p w14:paraId="04531C2F" w14:textId="77777777" w:rsidR="009161BA" w:rsidRPr="009161BA" w:rsidRDefault="009161BA" w:rsidP="009161BA">
            <w:pPr>
              <w:spacing w:line="276" w:lineRule="auto"/>
              <w:jc w:val="center"/>
              <w:rPr>
                <w:rFonts w:ascii="Arial" w:hAnsi="Arial" w:cs="Arial"/>
                <w:b/>
                <w:bCs/>
                <w:sz w:val="20"/>
                <w:szCs w:val="24"/>
              </w:rPr>
            </w:pPr>
            <w:r w:rsidRPr="009161BA">
              <w:rPr>
                <w:rFonts w:ascii="Arial" w:hAnsi="Arial" w:cs="Arial"/>
                <w:b/>
                <w:bCs/>
                <w:sz w:val="20"/>
                <w:szCs w:val="24"/>
              </w:rPr>
              <w:t>15/16</w:t>
            </w:r>
          </w:p>
        </w:tc>
        <w:tc>
          <w:tcPr>
            <w:tcW w:w="1541" w:type="dxa"/>
            <w:gridSpan w:val="2"/>
            <w:noWrap/>
            <w:hideMark/>
          </w:tcPr>
          <w:p w14:paraId="036CEB27" w14:textId="77777777" w:rsidR="009161BA" w:rsidRPr="009161BA" w:rsidRDefault="009161BA" w:rsidP="009161BA">
            <w:pPr>
              <w:spacing w:line="276" w:lineRule="auto"/>
              <w:jc w:val="center"/>
              <w:rPr>
                <w:rFonts w:ascii="Arial" w:hAnsi="Arial" w:cs="Arial"/>
                <w:b/>
                <w:bCs/>
                <w:sz w:val="20"/>
                <w:szCs w:val="24"/>
              </w:rPr>
            </w:pPr>
            <w:r w:rsidRPr="009161BA">
              <w:rPr>
                <w:rFonts w:ascii="Arial" w:hAnsi="Arial" w:cs="Arial"/>
                <w:b/>
                <w:bCs/>
                <w:sz w:val="20"/>
                <w:szCs w:val="24"/>
              </w:rPr>
              <w:t>16/17</w:t>
            </w:r>
          </w:p>
        </w:tc>
        <w:tc>
          <w:tcPr>
            <w:tcW w:w="1523" w:type="dxa"/>
            <w:gridSpan w:val="2"/>
            <w:noWrap/>
            <w:hideMark/>
          </w:tcPr>
          <w:p w14:paraId="0485F3DD" w14:textId="77777777" w:rsidR="009161BA" w:rsidRPr="009161BA" w:rsidRDefault="009161BA" w:rsidP="009161BA">
            <w:pPr>
              <w:spacing w:line="276" w:lineRule="auto"/>
              <w:jc w:val="center"/>
              <w:rPr>
                <w:rFonts w:ascii="Arial" w:hAnsi="Arial" w:cs="Arial"/>
                <w:b/>
                <w:bCs/>
                <w:sz w:val="20"/>
                <w:szCs w:val="24"/>
              </w:rPr>
            </w:pPr>
            <w:r w:rsidRPr="009161BA">
              <w:rPr>
                <w:rFonts w:ascii="Arial" w:hAnsi="Arial" w:cs="Arial"/>
                <w:b/>
                <w:bCs/>
                <w:sz w:val="20"/>
                <w:szCs w:val="24"/>
              </w:rPr>
              <w:t>17/18</w:t>
            </w:r>
          </w:p>
        </w:tc>
        <w:tc>
          <w:tcPr>
            <w:tcW w:w="1695" w:type="dxa"/>
            <w:gridSpan w:val="2"/>
            <w:noWrap/>
            <w:hideMark/>
          </w:tcPr>
          <w:p w14:paraId="21E91DB5" w14:textId="77777777" w:rsidR="009161BA" w:rsidRPr="009161BA" w:rsidRDefault="009161BA" w:rsidP="009161BA">
            <w:pPr>
              <w:spacing w:line="276" w:lineRule="auto"/>
              <w:jc w:val="center"/>
              <w:rPr>
                <w:rFonts w:ascii="Arial" w:hAnsi="Arial" w:cs="Arial"/>
                <w:b/>
                <w:bCs/>
                <w:sz w:val="20"/>
                <w:szCs w:val="24"/>
              </w:rPr>
            </w:pPr>
            <w:r w:rsidRPr="009161BA">
              <w:rPr>
                <w:rFonts w:ascii="Arial" w:hAnsi="Arial" w:cs="Arial"/>
                <w:b/>
                <w:bCs/>
                <w:sz w:val="20"/>
                <w:szCs w:val="24"/>
              </w:rPr>
              <w:t>18/19</w:t>
            </w:r>
          </w:p>
        </w:tc>
      </w:tr>
      <w:tr w:rsidR="009161BA" w:rsidRPr="009161BA" w14:paraId="6F6D88AA" w14:textId="77777777" w:rsidTr="0050412C">
        <w:trPr>
          <w:trHeight w:val="299"/>
          <w:jc w:val="center"/>
        </w:trPr>
        <w:tc>
          <w:tcPr>
            <w:tcW w:w="2122" w:type="dxa"/>
            <w:vMerge/>
            <w:hideMark/>
          </w:tcPr>
          <w:p w14:paraId="43C541C3" w14:textId="77777777" w:rsidR="009161BA" w:rsidRPr="009161BA" w:rsidRDefault="009161BA" w:rsidP="009161BA">
            <w:pPr>
              <w:spacing w:line="276" w:lineRule="auto"/>
              <w:rPr>
                <w:rFonts w:ascii="Arial" w:hAnsi="Arial" w:cs="Arial"/>
                <w:b/>
                <w:bCs/>
                <w:sz w:val="20"/>
                <w:szCs w:val="24"/>
              </w:rPr>
            </w:pPr>
          </w:p>
        </w:tc>
        <w:tc>
          <w:tcPr>
            <w:tcW w:w="421" w:type="dxa"/>
            <w:noWrap/>
            <w:hideMark/>
          </w:tcPr>
          <w:p w14:paraId="0178BCCC"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Spend</w:t>
            </w:r>
          </w:p>
        </w:tc>
        <w:tc>
          <w:tcPr>
            <w:tcW w:w="728" w:type="dxa"/>
            <w:noWrap/>
            <w:hideMark/>
          </w:tcPr>
          <w:p w14:paraId="0FEF8141"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Prop.</w:t>
            </w:r>
          </w:p>
        </w:tc>
        <w:tc>
          <w:tcPr>
            <w:tcW w:w="813" w:type="dxa"/>
            <w:noWrap/>
            <w:hideMark/>
          </w:tcPr>
          <w:p w14:paraId="723E555B"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Spend</w:t>
            </w:r>
          </w:p>
        </w:tc>
        <w:tc>
          <w:tcPr>
            <w:tcW w:w="728" w:type="dxa"/>
            <w:noWrap/>
            <w:hideMark/>
          </w:tcPr>
          <w:p w14:paraId="5C5D78FC"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Prop.</w:t>
            </w:r>
          </w:p>
        </w:tc>
        <w:tc>
          <w:tcPr>
            <w:tcW w:w="795" w:type="dxa"/>
            <w:noWrap/>
            <w:hideMark/>
          </w:tcPr>
          <w:p w14:paraId="08F73397"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Spend</w:t>
            </w:r>
          </w:p>
        </w:tc>
        <w:tc>
          <w:tcPr>
            <w:tcW w:w="728" w:type="dxa"/>
            <w:noWrap/>
            <w:hideMark/>
          </w:tcPr>
          <w:p w14:paraId="0E82EBBE"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Prop.</w:t>
            </w:r>
          </w:p>
        </w:tc>
        <w:tc>
          <w:tcPr>
            <w:tcW w:w="897" w:type="dxa"/>
            <w:noWrap/>
            <w:hideMark/>
          </w:tcPr>
          <w:p w14:paraId="4F9AA13A"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Spend</w:t>
            </w:r>
          </w:p>
        </w:tc>
        <w:tc>
          <w:tcPr>
            <w:tcW w:w="798" w:type="dxa"/>
            <w:noWrap/>
            <w:hideMark/>
          </w:tcPr>
          <w:p w14:paraId="7A2819AA"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Prop.</w:t>
            </w:r>
          </w:p>
        </w:tc>
      </w:tr>
      <w:tr w:rsidR="009161BA" w:rsidRPr="009161BA" w14:paraId="20DF6DCE" w14:textId="77777777" w:rsidTr="0050412C">
        <w:trPr>
          <w:trHeight w:val="299"/>
          <w:jc w:val="center"/>
        </w:trPr>
        <w:tc>
          <w:tcPr>
            <w:tcW w:w="2122" w:type="dxa"/>
            <w:noWrap/>
            <w:hideMark/>
          </w:tcPr>
          <w:p w14:paraId="5820CFFA" w14:textId="77777777" w:rsidR="009161BA" w:rsidRPr="009161BA" w:rsidRDefault="009161BA" w:rsidP="009161BA">
            <w:pPr>
              <w:spacing w:line="276" w:lineRule="auto"/>
              <w:rPr>
                <w:rFonts w:ascii="Arial" w:hAnsi="Arial" w:cs="Arial"/>
                <w:sz w:val="20"/>
                <w:szCs w:val="24"/>
              </w:rPr>
            </w:pPr>
            <w:r w:rsidRPr="009161BA">
              <w:rPr>
                <w:rFonts w:ascii="Arial" w:hAnsi="Arial" w:cs="Arial"/>
                <w:sz w:val="20"/>
                <w:szCs w:val="24"/>
              </w:rPr>
              <w:t>NHS Providers</w:t>
            </w:r>
          </w:p>
        </w:tc>
        <w:tc>
          <w:tcPr>
            <w:tcW w:w="421" w:type="dxa"/>
            <w:noWrap/>
            <w:hideMark/>
          </w:tcPr>
          <w:p w14:paraId="7DD78B26"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77</w:t>
            </w:r>
          </w:p>
        </w:tc>
        <w:tc>
          <w:tcPr>
            <w:tcW w:w="728" w:type="dxa"/>
            <w:noWrap/>
            <w:hideMark/>
          </w:tcPr>
          <w:p w14:paraId="51022F22"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80%</w:t>
            </w:r>
          </w:p>
        </w:tc>
        <w:tc>
          <w:tcPr>
            <w:tcW w:w="813" w:type="dxa"/>
            <w:noWrap/>
            <w:hideMark/>
          </w:tcPr>
          <w:p w14:paraId="5BD70EC8"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79</w:t>
            </w:r>
          </w:p>
        </w:tc>
        <w:tc>
          <w:tcPr>
            <w:tcW w:w="728" w:type="dxa"/>
            <w:noWrap/>
            <w:hideMark/>
          </w:tcPr>
          <w:p w14:paraId="645EE9EB"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80%</w:t>
            </w:r>
          </w:p>
        </w:tc>
        <w:tc>
          <w:tcPr>
            <w:tcW w:w="795" w:type="dxa"/>
            <w:noWrap/>
            <w:hideMark/>
          </w:tcPr>
          <w:p w14:paraId="2840BF5A"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81</w:t>
            </w:r>
          </w:p>
        </w:tc>
        <w:tc>
          <w:tcPr>
            <w:tcW w:w="728" w:type="dxa"/>
            <w:noWrap/>
            <w:hideMark/>
          </w:tcPr>
          <w:p w14:paraId="56F9B783"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80%</w:t>
            </w:r>
          </w:p>
        </w:tc>
        <w:tc>
          <w:tcPr>
            <w:tcW w:w="897" w:type="dxa"/>
            <w:noWrap/>
            <w:hideMark/>
          </w:tcPr>
          <w:p w14:paraId="4501F1EF"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85</w:t>
            </w:r>
          </w:p>
        </w:tc>
        <w:tc>
          <w:tcPr>
            <w:tcW w:w="798" w:type="dxa"/>
            <w:noWrap/>
            <w:hideMark/>
          </w:tcPr>
          <w:p w14:paraId="76AB3364"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89%</w:t>
            </w:r>
          </w:p>
        </w:tc>
      </w:tr>
      <w:tr w:rsidR="009161BA" w:rsidRPr="009161BA" w14:paraId="0E9B4E51" w14:textId="77777777" w:rsidTr="0050412C">
        <w:trPr>
          <w:trHeight w:val="299"/>
          <w:jc w:val="center"/>
        </w:trPr>
        <w:tc>
          <w:tcPr>
            <w:tcW w:w="2122" w:type="dxa"/>
            <w:noWrap/>
            <w:hideMark/>
          </w:tcPr>
          <w:p w14:paraId="36842FA9" w14:textId="77777777" w:rsidR="009161BA" w:rsidRPr="009161BA" w:rsidRDefault="009161BA" w:rsidP="009161BA">
            <w:pPr>
              <w:spacing w:line="276" w:lineRule="auto"/>
              <w:rPr>
                <w:rFonts w:ascii="Arial" w:hAnsi="Arial" w:cs="Arial"/>
                <w:sz w:val="20"/>
                <w:szCs w:val="24"/>
              </w:rPr>
            </w:pPr>
            <w:r w:rsidRPr="009161BA">
              <w:rPr>
                <w:rFonts w:ascii="Arial" w:hAnsi="Arial" w:cs="Arial"/>
                <w:sz w:val="20"/>
                <w:szCs w:val="24"/>
              </w:rPr>
              <w:t xml:space="preserve">General Practice </w:t>
            </w:r>
          </w:p>
        </w:tc>
        <w:tc>
          <w:tcPr>
            <w:tcW w:w="421" w:type="dxa"/>
            <w:noWrap/>
            <w:hideMark/>
          </w:tcPr>
          <w:p w14:paraId="0825263D"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728" w:type="dxa"/>
            <w:noWrap/>
            <w:hideMark/>
          </w:tcPr>
          <w:p w14:paraId="14389C59"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813" w:type="dxa"/>
            <w:noWrap/>
            <w:hideMark/>
          </w:tcPr>
          <w:p w14:paraId="5AD2BFEC"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728" w:type="dxa"/>
            <w:noWrap/>
            <w:hideMark/>
          </w:tcPr>
          <w:p w14:paraId="6219A669"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795" w:type="dxa"/>
            <w:noWrap/>
            <w:hideMark/>
          </w:tcPr>
          <w:p w14:paraId="0D11F6A5"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728" w:type="dxa"/>
            <w:noWrap/>
            <w:hideMark/>
          </w:tcPr>
          <w:p w14:paraId="052FCC05"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897" w:type="dxa"/>
            <w:noWrap/>
            <w:hideMark/>
          </w:tcPr>
          <w:p w14:paraId="15B29883"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8</w:t>
            </w:r>
          </w:p>
        </w:tc>
        <w:tc>
          <w:tcPr>
            <w:tcW w:w="798" w:type="dxa"/>
            <w:noWrap/>
            <w:hideMark/>
          </w:tcPr>
          <w:p w14:paraId="7F919202"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r>
      <w:tr w:rsidR="009161BA" w:rsidRPr="009161BA" w14:paraId="0250FAC1" w14:textId="77777777" w:rsidTr="0050412C">
        <w:trPr>
          <w:trHeight w:val="299"/>
          <w:jc w:val="center"/>
        </w:trPr>
        <w:tc>
          <w:tcPr>
            <w:tcW w:w="2122" w:type="dxa"/>
            <w:noWrap/>
            <w:hideMark/>
          </w:tcPr>
          <w:p w14:paraId="77182901" w14:textId="77777777" w:rsidR="009161BA" w:rsidRPr="009161BA" w:rsidRDefault="009161BA" w:rsidP="009161BA">
            <w:pPr>
              <w:spacing w:line="276" w:lineRule="auto"/>
              <w:rPr>
                <w:rFonts w:ascii="Arial" w:hAnsi="Arial" w:cs="Arial"/>
                <w:sz w:val="20"/>
                <w:szCs w:val="24"/>
              </w:rPr>
            </w:pPr>
            <w:r w:rsidRPr="009161BA">
              <w:rPr>
                <w:rFonts w:ascii="Arial" w:hAnsi="Arial" w:cs="Arial"/>
                <w:sz w:val="20"/>
                <w:szCs w:val="24"/>
              </w:rPr>
              <w:t>Prescribing</w:t>
            </w:r>
          </w:p>
        </w:tc>
        <w:tc>
          <w:tcPr>
            <w:tcW w:w="421" w:type="dxa"/>
            <w:noWrap/>
            <w:hideMark/>
          </w:tcPr>
          <w:p w14:paraId="74E9F250"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728" w:type="dxa"/>
            <w:noWrap/>
            <w:hideMark/>
          </w:tcPr>
          <w:p w14:paraId="4E01D714"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813" w:type="dxa"/>
            <w:noWrap/>
            <w:hideMark/>
          </w:tcPr>
          <w:p w14:paraId="37A50963"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728" w:type="dxa"/>
            <w:noWrap/>
            <w:hideMark/>
          </w:tcPr>
          <w:p w14:paraId="5165DCC0"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795" w:type="dxa"/>
            <w:noWrap/>
            <w:hideMark/>
          </w:tcPr>
          <w:p w14:paraId="4BD29E05"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728" w:type="dxa"/>
            <w:noWrap/>
            <w:hideMark/>
          </w:tcPr>
          <w:p w14:paraId="6A0511B6"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w:t>
            </w:r>
          </w:p>
        </w:tc>
        <w:tc>
          <w:tcPr>
            <w:tcW w:w="897" w:type="dxa"/>
            <w:noWrap/>
            <w:hideMark/>
          </w:tcPr>
          <w:p w14:paraId="5F856289"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0</w:t>
            </w:r>
          </w:p>
        </w:tc>
        <w:tc>
          <w:tcPr>
            <w:tcW w:w="798" w:type="dxa"/>
            <w:noWrap/>
            <w:hideMark/>
          </w:tcPr>
          <w:p w14:paraId="1B21FF6F"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0%</w:t>
            </w:r>
          </w:p>
        </w:tc>
      </w:tr>
      <w:tr w:rsidR="009161BA" w:rsidRPr="009161BA" w14:paraId="685B467E" w14:textId="77777777" w:rsidTr="0050412C">
        <w:trPr>
          <w:trHeight w:val="299"/>
          <w:jc w:val="center"/>
        </w:trPr>
        <w:tc>
          <w:tcPr>
            <w:tcW w:w="2122" w:type="dxa"/>
            <w:noWrap/>
            <w:hideMark/>
          </w:tcPr>
          <w:p w14:paraId="77B05EC7" w14:textId="77777777" w:rsidR="009161BA" w:rsidRPr="009161BA" w:rsidRDefault="009161BA" w:rsidP="009161BA">
            <w:pPr>
              <w:spacing w:line="276" w:lineRule="auto"/>
              <w:rPr>
                <w:rFonts w:ascii="Arial" w:hAnsi="Arial" w:cs="Arial"/>
                <w:sz w:val="20"/>
                <w:szCs w:val="24"/>
              </w:rPr>
            </w:pPr>
            <w:r w:rsidRPr="009161BA">
              <w:rPr>
                <w:rFonts w:ascii="Arial" w:hAnsi="Arial" w:cs="Arial"/>
                <w:sz w:val="20"/>
                <w:szCs w:val="24"/>
              </w:rPr>
              <w:t>Dentistry</w:t>
            </w:r>
          </w:p>
        </w:tc>
        <w:tc>
          <w:tcPr>
            <w:tcW w:w="421" w:type="dxa"/>
            <w:noWrap/>
            <w:hideMark/>
          </w:tcPr>
          <w:p w14:paraId="4430FFFE"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728" w:type="dxa"/>
            <w:noWrap/>
            <w:hideMark/>
          </w:tcPr>
          <w:p w14:paraId="26D97BE1"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813" w:type="dxa"/>
            <w:noWrap/>
            <w:hideMark/>
          </w:tcPr>
          <w:p w14:paraId="007240F5"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728" w:type="dxa"/>
            <w:noWrap/>
            <w:hideMark/>
          </w:tcPr>
          <w:p w14:paraId="3A329ECB"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795" w:type="dxa"/>
            <w:noWrap/>
            <w:hideMark/>
          </w:tcPr>
          <w:p w14:paraId="43029688"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728" w:type="dxa"/>
            <w:noWrap/>
            <w:hideMark/>
          </w:tcPr>
          <w:p w14:paraId="5555BAF8"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897" w:type="dxa"/>
            <w:noWrap/>
            <w:hideMark/>
          </w:tcPr>
          <w:p w14:paraId="54F29495"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c>
          <w:tcPr>
            <w:tcW w:w="798" w:type="dxa"/>
            <w:noWrap/>
            <w:hideMark/>
          </w:tcPr>
          <w:p w14:paraId="793B05D2"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3%</w:t>
            </w:r>
          </w:p>
        </w:tc>
      </w:tr>
      <w:tr w:rsidR="009161BA" w:rsidRPr="009161BA" w14:paraId="097CEDC0" w14:textId="77777777" w:rsidTr="0050412C">
        <w:trPr>
          <w:trHeight w:val="299"/>
          <w:jc w:val="center"/>
        </w:trPr>
        <w:tc>
          <w:tcPr>
            <w:tcW w:w="2122" w:type="dxa"/>
            <w:noWrap/>
            <w:hideMark/>
          </w:tcPr>
          <w:p w14:paraId="10AC3DB2" w14:textId="0C6FEE2D" w:rsidR="009161BA" w:rsidRPr="009161BA" w:rsidRDefault="009161BA" w:rsidP="009161BA">
            <w:pPr>
              <w:spacing w:line="276" w:lineRule="auto"/>
              <w:rPr>
                <w:rFonts w:ascii="Arial" w:hAnsi="Arial" w:cs="Arial"/>
                <w:sz w:val="20"/>
                <w:szCs w:val="24"/>
              </w:rPr>
            </w:pPr>
            <w:r w:rsidRPr="009161BA">
              <w:rPr>
                <w:rFonts w:ascii="Arial" w:hAnsi="Arial" w:cs="Arial"/>
                <w:sz w:val="20"/>
                <w:szCs w:val="24"/>
              </w:rPr>
              <w:t xml:space="preserve">Total </w:t>
            </w:r>
            <w:r w:rsidR="0050412C">
              <w:rPr>
                <w:rFonts w:ascii="Arial" w:hAnsi="Arial" w:cs="Arial"/>
                <w:sz w:val="20"/>
                <w:szCs w:val="24"/>
              </w:rPr>
              <w:t>spend covered</w:t>
            </w:r>
          </w:p>
        </w:tc>
        <w:tc>
          <w:tcPr>
            <w:tcW w:w="421" w:type="dxa"/>
            <w:noWrap/>
            <w:hideMark/>
          </w:tcPr>
          <w:p w14:paraId="3AC79B0C"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96</w:t>
            </w:r>
          </w:p>
        </w:tc>
        <w:tc>
          <w:tcPr>
            <w:tcW w:w="728" w:type="dxa"/>
            <w:noWrap/>
            <w:hideMark/>
          </w:tcPr>
          <w:p w14:paraId="1693FCD8"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100%</w:t>
            </w:r>
          </w:p>
        </w:tc>
        <w:tc>
          <w:tcPr>
            <w:tcW w:w="813" w:type="dxa"/>
            <w:noWrap/>
            <w:hideMark/>
          </w:tcPr>
          <w:p w14:paraId="4657AA02"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98</w:t>
            </w:r>
          </w:p>
        </w:tc>
        <w:tc>
          <w:tcPr>
            <w:tcW w:w="728" w:type="dxa"/>
            <w:noWrap/>
            <w:hideMark/>
          </w:tcPr>
          <w:p w14:paraId="2C21E9C4"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100%</w:t>
            </w:r>
          </w:p>
        </w:tc>
        <w:tc>
          <w:tcPr>
            <w:tcW w:w="795" w:type="dxa"/>
            <w:noWrap/>
            <w:hideMark/>
          </w:tcPr>
          <w:p w14:paraId="2C11D248"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100</w:t>
            </w:r>
          </w:p>
        </w:tc>
        <w:tc>
          <w:tcPr>
            <w:tcW w:w="728" w:type="dxa"/>
            <w:noWrap/>
            <w:hideMark/>
          </w:tcPr>
          <w:p w14:paraId="42BCD1F9"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100%</w:t>
            </w:r>
          </w:p>
        </w:tc>
        <w:tc>
          <w:tcPr>
            <w:tcW w:w="897" w:type="dxa"/>
            <w:noWrap/>
            <w:hideMark/>
          </w:tcPr>
          <w:p w14:paraId="60D011AD"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96</w:t>
            </w:r>
          </w:p>
        </w:tc>
        <w:tc>
          <w:tcPr>
            <w:tcW w:w="798" w:type="dxa"/>
            <w:noWrap/>
            <w:hideMark/>
          </w:tcPr>
          <w:p w14:paraId="2942F9FB" w14:textId="77777777" w:rsidR="009161BA" w:rsidRPr="009161BA" w:rsidRDefault="009161BA" w:rsidP="009161BA">
            <w:pPr>
              <w:spacing w:line="276" w:lineRule="auto"/>
              <w:jc w:val="center"/>
              <w:rPr>
                <w:rFonts w:ascii="Arial" w:hAnsi="Arial" w:cs="Arial"/>
                <w:sz w:val="20"/>
                <w:szCs w:val="24"/>
              </w:rPr>
            </w:pPr>
            <w:r w:rsidRPr="009161BA">
              <w:rPr>
                <w:rFonts w:ascii="Arial" w:hAnsi="Arial" w:cs="Arial"/>
                <w:sz w:val="20"/>
                <w:szCs w:val="24"/>
              </w:rPr>
              <w:t>100%</w:t>
            </w:r>
          </w:p>
        </w:tc>
      </w:tr>
    </w:tbl>
    <w:p w14:paraId="3F45D7C4" w14:textId="18AD2273" w:rsidR="00E15771" w:rsidRPr="00BD6196" w:rsidRDefault="00E15771" w:rsidP="00BD6196">
      <w:pPr>
        <w:spacing w:line="276" w:lineRule="auto"/>
        <w:rPr>
          <w:rFonts w:ascii="Arial" w:hAnsi="Arial" w:cs="Arial"/>
          <w:sz w:val="20"/>
          <w:szCs w:val="24"/>
        </w:rPr>
      </w:pPr>
      <w:r w:rsidRPr="00BD6196">
        <w:rPr>
          <w:rFonts w:ascii="Arial" w:hAnsi="Arial" w:cs="Arial"/>
          <w:sz w:val="20"/>
          <w:szCs w:val="24"/>
        </w:rPr>
        <w:t>Note: spend is rounded.</w:t>
      </w:r>
      <w:r w:rsidR="009161BA">
        <w:rPr>
          <w:rFonts w:ascii="Arial" w:hAnsi="Arial" w:cs="Arial"/>
          <w:sz w:val="20"/>
          <w:szCs w:val="24"/>
        </w:rPr>
        <w:t xml:space="preserve"> </w:t>
      </w:r>
      <w:r w:rsidRPr="00BD6196">
        <w:rPr>
          <w:rFonts w:ascii="Arial" w:hAnsi="Arial" w:cs="Arial"/>
          <w:sz w:val="20"/>
          <w:szCs w:val="24"/>
        </w:rPr>
        <w:t xml:space="preserve">Source: DHSC Annual Accounts. </w:t>
      </w:r>
    </w:p>
    <w:p w14:paraId="3D192507" w14:textId="4E370B22" w:rsidR="00E15771" w:rsidRPr="00BD6196" w:rsidRDefault="00E15771" w:rsidP="00BD6196">
      <w:pPr>
        <w:pStyle w:val="ListParagraph"/>
        <w:numPr>
          <w:ilvl w:val="0"/>
          <w:numId w:val="6"/>
        </w:numPr>
        <w:spacing w:line="276" w:lineRule="auto"/>
        <w:rPr>
          <w:rFonts w:ascii="Arial" w:hAnsi="Arial" w:cs="Arial"/>
          <w:sz w:val="24"/>
        </w:rPr>
      </w:pPr>
      <w:r w:rsidRPr="00BD6196">
        <w:rPr>
          <w:rFonts w:ascii="Arial" w:hAnsi="Arial" w:cs="Arial"/>
          <w:sz w:val="24"/>
        </w:rPr>
        <w:lastRenderedPageBreak/>
        <w:t xml:space="preserve">The </w:t>
      </w:r>
      <w:r w:rsidR="00D633E8">
        <w:rPr>
          <w:rFonts w:ascii="Arial" w:hAnsi="Arial" w:cs="Arial"/>
          <w:sz w:val="24"/>
        </w:rPr>
        <w:t>N</w:t>
      </w:r>
      <w:r w:rsidR="009161BA">
        <w:rPr>
          <w:rFonts w:ascii="Arial" w:hAnsi="Arial" w:cs="Arial"/>
          <w:sz w:val="24"/>
        </w:rPr>
        <w:t>HSCII</w:t>
      </w:r>
      <w:r w:rsidRPr="00BD6196">
        <w:rPr>
          <w:rFonts w:ascii="Arial" w:hAnsi="Arial" w:cs="Arial"/>
          <w:sz w:val="24"/>
        </w:rPr>
        <w:t xml:space="preserve"> identifies an appropriate inflation measure for each item of spend in these </w:t>
      </w:r>
      <w:r w:rsidR="007203DF" w:rsidRPr="00BD6196">
        <w:rPr>
          <w:rFonts w:ascii="Arial" w:hAnsi="Arial" w:cs="Arial"/>
          <w:sz w:val="24"/>
        </w:rPr>
        <w:t xml:space="preserve">broad </w:t>
      </w:r>
      <w:r w:rsidRPr="00BD6196">
        <w:rPr>
          <w:rFonts w:ascii="Arial" w:hAnsi="Arial" w:cs="Arial"/>
          <w:sz w:val="24"/>
        </w:rPr>
        <w:t xml:space="preserve">spend areas, creating a detailed overall inflation measure for </w:t>
      </w:r>
      <w:r w:rsidR="007203DF" w:rsidRPr="00BD6196">
        <w:rPr>
          <w:rFonts w:ascii="Arial" w:hAnsi="Arial" w:cs="Arial"/>
          <w:sz w:val="24"/>
        </w:rPr>
        <w:t xml:space="preserve">the </w:t>
      </w:r>
      <w:r w:rsidRPr="00BD6196">
        <w:rPr>
          <w:rFonts w:ascii="Arial" w:hAnsi="Arial" w:cs="Arial"/>
          <w:sz w:val="24"/>
        </w:rPr>
        <w:t xml:space="preserve">NHS. Hence, </w:t>
      </w:r>
      <w:r w:rsidR="007203DF" w:rsidRPr="00BD6196">
        <w:rPr>
          <w:rFonts w:ascii="Arial" w:hAnsi="Arial" w:cs="Arial"/>
          <w:sz w:val="24"/>
        </w:rPr>
        <w:t xml:space="preserve">the </w:t>
      </w:r>
      <w:r w:rsidRPr="00BD6196">
        <w:rPr>
          <w:rFonts w:ascii="Arial" w:hAnsi="Arial" w:cs="Arial"/>
          <w:sz w:val="24"/>
        </w:rPr>
        <w:t xml:space="preserve">benefit of the </w:t>
      </w:r>
      <w:r w:rsidR="00D633E8">
        <w:rPr>
          <w:rFonts w:ascii="Arial" w:hAnsi="Arial" w:cs="Arial"/>
          <w:sz w:val="24"/>
        </w:rPr>
        <w:t xml:space="preserve">inflation </w:t>
      </w:r>
      <w:r w:rsidRPr="00BD6196">
        <w:rPr>
          <w:rFonts w:ascii="Arial" w:hAnsi="Arial" w:cs="Arial"/>
          <w:sz w:val="24"/>
        </w:rPr>
        <w:t xml:space="preserve">index is threefold: </w:t>
      </w:r>
    </w:p>
    <w:p w14:paraId="6886C2B5" w14:textId="77777777" w:rsidR="00E15771" w:rsidRPr="00BD6196" w:rsidRDefault="00E15771" w:rsidP="00BD6196">
      <w:pPr>
        <w:pStyle w:val="ListParagraph"/>
        <w:spacing w:line="276" w:lineRule="auto"/>
        <w:ind w:left="360"/>
        <w:rPr>
          <w:rFonts w:ascii="Arial" w:hAnsi="Arial" w:cs="Arial"/>
          <w:sz w:val="24"/>
        </w:rPr>
      </w:pPr>
    </w:p>
    <w:p w14:paraId="08AE40FB" w14:textId="0FF6EFBF" w:rsidR="00E15771" w:rsidRPr="00BD6196" w:rsidRDefault="00E15771" w:rsidP="00BD6196">
      <w:pPr>
        <w:pStyle w:val="ListParagraph"/>
        <w:numPr>
          <w:ilvl w:val="0"/>
          <w:numId w:val="4"/>
        </w:numPr>
        <w:spacing w:line="276" w:lineRule="auto"/>
        <w:rPr>
          <w:rFonts w:ascii="Arial" w:hAnsi="Arial" w:cs="Arial"/>
          <w:sz w:val="24"/>
        </w:rPr>
      </w:pPr>
      <w:r w:rsidRPr="00BD6196">
        <w:rPr>
          <w:rFonts w:ascii="Arial" w:hAnsi="Arial" w:cs="Arial"/>
          <w:sz w:val="24"/>
        </w:rPr>
        <w:t>First, the index will fill the gap left by the discontinuation of the HCHS index and produce a measure of NHS</w:t>
      </w:r>
      <w:r w:rsidR="009161BA">
        <w:rPr>
          <w:rFonts w:ascii="Arial" w:hAnsi="Arial" w:cs="Arial"/>
          <w:sz w:val="24"/>
        </w:rPr>
        <w:t xml:space="preserve"> cost</w:t>
      </w:r>
      <w:r w:rsidRPr="00BD6196">
        <w:rPr>
          <w:rFonts w:ascii="Arial" w:hAnsi="Arial" w:cs="Arial"/>
          <w:sz w:val="24"/>
        </w:rPr>
        <w:t xml:space="preserve"> inflation. This can be used in different </w:t>
      </w:r>
      <w:r w:rsidR="007203DF" w:rsidRPr="00BD6196">
        <w:rPr>
          <w:rFonts w:ascii="Arial" w:hAnsi="Arial" w:cs="Arial"/>
          <w:sz w:val="24"/>
        </w:rPr>
        <w:t>applications</w:t>
      </w:r>
      <w:r w:rsidRPr="00BD6196">
        <w:rPr>
          <w:rFonts w:ascii="Arial" w:hAnsi="Arial" w:cs="Arial"/>
          <w:sz w:val="24"/>
        </w:rPr>
        <w:t xml:space="preserve"> in replacement of the HCHS index to adjust for NHS inflation. </w:t>
      </w:r>
    </w:p>
    <w:p w14:paraId="1FFFA2F2" w14:textId="77777777" w:rsidR="00E15771" w:rsidRPr="00BD6196" w:rsidRDefault="00E15771" w:rsidP="00BD6196">
      <w:pPr>
        <w:pStyle w:val="ListParagraph"/>
        <w:spacing w:line="276" w:lineRule="auto"/>
        <w:ind w:left="1140"/>
        <w:rPr>
          <w:rFonts w:ascii="Arial" w:hAnsi="Arial" w:cs="Arial"/>
          <w:sz w:val="24"/>
        </w:rPr>
      </w:pPr>
    </w:p>
    <w:p w14:paraId="2D1AD583" w14:textId="2B1B0D09" w:rsidR="00E15771" w:rsidRPr="00BD6196" w:rsidRDefault="00E15771" w:rsidP="00BD6196">
      <w:pPr>
        <w:pStyle w:val="ListParagraph"/>
        <w:numPr>
          <w:ilvl w:val="0"/>
          <w:numId w:val="4"/>
        </w:numPr>
        <w:spacing w:line="276" w:lineRule="auto"/>
        <w:rPr>
          <w:rFonts w:ascii="Arial" w:hAnsi="Arial" w:cs="Arial"/>
          <w:sz w:val="24"/>
        </w:rPr>
      </w:pPr>
      <w:r w:rsidRPr="00BD6196">
        <w:rPr>
          <w:rFonts w:ascii="Arial" w:hAnsi="Arial" w:cs="Arial"/>
          <w:sz w:val="24"/>
        </w:rPr>
        <w:t>Second, the granularity of the index can be used to track NHS inflation to a specific item of spend. For instance, a fall in provider inflation (leading an increase in provider spend) can be traced back to the specific item of spend which contributed to the fall</w:t>
      </w:r>
      <w:r w:rsidR="007203DF" w:rsidRPr="00BD6196">
        <w:rPr>
          <w:rFonts w:ascii="Arial" w:hAnsi="Arial" w:cs="Arial"/>
          <w:sz w:val="24"/>
        </w:rPr>
        <w:t>,</w:t>
      </w:r>
      <w:r w:rsidRPr="00BD6196">
        <w:rPr>
          <w:rFonts w:ascii="Arial" w:hAnsi="Arial" w:cs="Arial"/>
          <w:sz w:val="24"/>
        </w:rPr>
        <w:t xml:space="preserve"> e.g. decline of pay inflation.  </w:t>
      </w:r>
    </w:p>
    <w:p w14:paraId="797DD3E2" w14:textId="77777777" w:rsidR="00E15771" w:rsidRPr="00BD6196" w:rsidRDefault="00E15771" w:rsidP="00BD6196">
      <w:pPr>
        <w:pStyle w:val="ListParagraph"/>
        <w:spacing w:line="276" w:lineRule="auto"/>
        <w:rPr>
          <w:rFonts w:ascii="Arial" w:hAnsi="Arial" w:cs="Arial"/>
          <w:sz w:val="24"/>
        </w:rPr>
      </w:pPr>
    </w:p>
    <w:p w14:paraId="6B368860" w14:textId="47CFCBBD" w:rsidR="00E15771" w:rsidRPr="00BD6196" w:rsidRDefault="00E15771" w:rsidP="00BD6196">
      <w:pPr>
        <w:pStyle w:val="ListParagraph"/>
        <w:numPr>
          <w:ilvl w:val="0"/>
          <w:numId w:val="4"/>
        </w:numPr>
        <w:spacing w:line="276" w:lineRule="auto"/>
        <w:rPr>
          <w:rFonts w:ascii="Arial" w:hAnsi="Arial" w:cs="Arial"/>
          <w:sz w:val="24"/>
        </w:rPr>
      </w:pPr>
      <w:r w:rsidRPr="00BD6196">
        <w:rPr>
          <w:rFonts w:ascii="Arial" w:hAnsi="Arial" w:cs="Arial"/>
          <w:sz w:val="24"/>
        </w:rPr>
        <w:t xml:space="preserve">Third, the index can give more accurate measures of productivity and efficiency since input expenditure would be deflated by a detailed measure of inflation. This in turn will support productivity calculations of ONS/York and our work in measuring 1.1% cash releasing productivity for Financial Test 2 of the Long-Term Plan. </w:t>
      </w:r>
    </w:p>
    <w:p w14:paraId="24D901F5" w14:textId="77777777" w:rsidR="00E15771" w:rsidRPr="00BD6196" w:rsidRDefault="00E15771" w:rsidP="00BD6196">
      <w:pPr>
        <w:pStyle w:val="ListParagraph"/>
        <w:spacing w:line="276" w:lineRule="auto"/>
        <w:ind w:left="0"/>
        <w:rPr>
          <w:rFonts w:ascii="Arial" w:hAnsi="Arial" w:cs="Arial"/>
          <w:sz w:val="24"/>
        </w:rPr>
      </w:pPr>
    </w:p>
    <w:p w14:paraId="33E347B8" w14:textId="416FAEC8" w:rsidR="001165CA" w:rsidRPr="00BD6196" w:rsidRDefault="001165CA"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 </w:t>
      </w:r>
      <w:r w:rsidR="009161BA">
        <w:rPr>
          <w:rFonts w:ascii="Arial" w:hAnsi="Arial" w:cs="Arial"/>
          <w:sz w:val="24"/>
        </w:rPr>
        <w:t>NHSCII</w:t>
      </w:r>
      <w:r w:rsidRPr="00BD6196">
        <w:rPr>
          <w:rFonts w:ascii="Arial" w:hAnsi="Arial" w:cs="Arial"/>
          <w:sz w:val="24"/>
        </w:rPr>
        <w:t xml:space="preserve"> will measure NHS inflation </w:t>
      </w:r>
      <w:r w:rsidR="007203DF" w:rsidRPr="00BD6196">
        <w:rPr>
          <w:rFonts w:ascii="Arial" w:hAnsi="Arial" w:cs="Arial"/>
          <w:sz w:val="24"/>
        </w:rPr>
        <w:t>for</w:t>
      </w:r>
      <w:r w:rsidRPr="00BD6196">
        <w:rPr>
          <w:rFonts w:ascii="Arial" w:hAnsi="Arial" w:cs="Arial"/>
          <w:sz w:val="24"/>
        </w:rPr>
        <w:t xml:space="preserve"> two broad categories: </w:t>
      </w:r>
    </w:p>
    <w:p w14:paraId="4095DABB" w14:textId="77777777" w:rsidR="001165CA" w:rsidRPr="00BD6196" w:rsidRDefault="001165CA" w:rsidP="00BD6196">
      <w:pPr>
        <w:pStyle w:val="ListParagraph"/>
        <w:spacing w:line="276" w:lineRule="auto"/>
        <w:rPr>
          <w:rFonts w:ascii="Arial" w:hAnsi="Arial" w:cs="Arial"/>
          <w:sz w:val="24"/>
        </w:rPr>
      </w:pPr>
    </w:p>
    <w:p w14:paraId="722614A0" w14:textId="0949C682" w:rsidR="001165CA" w:rsidRDefault="001165CA" w:rsidP="00BD6196">
      <w:pPr>
        <w:pStyle w:val="ListParagraph"/>
        <w:numPr>
          <w:ilvl w:val="0"/>
          <w:numId w:val="7"/>
        </w:numPr>
        <w:spacing w:line="276" w:lineRule="auto"/>
        <w:rPr>
          <w:rFonts w:ascii="Arial" w:hAnsi="Arial" w:cs="Arial"/>
          <w:sz w:val="24"/>
        </w:rPr>
      </w:pPr>
      <w:r w:rsidRPr="00BD6196">
        <w:rPr>
          <w:rFonts w:ascii="Arial" w:hAnsi="Arial" w:cs="Arial"/>
          <w:sz w:val="24"/>
        </w:rPr>
        <w:t>For pay inflation: actual inflation as experienced by NHS organisations – the staff unit prices paid by NHS organisations. This can be used to deflate workforce</w:t>
      </w:r>
      <w:r w:rsidR="007203DF" w:rsidRPr="00BD6196">
        <w:rPr>
          <w:rFonts w:ascii="Arial" w:hAnsi="Arial" w:cs="Arial"/>
          <w:sz w:val="24"/>
        </w:rPr>
        <w:t xml:space="preserve"> expenditure</w:t>
      </w:r>
      <w:r w:rsidRPr="00BD6196">
        <w:rPr>
          <w:rFonts w:ascii="Arial" w:hAnsi="Arial" w:cs="Arial"/>
          <w:sz w:val="24"/>
        </w:rPr>
        <w:t>.</w:t>
      </w:r>
    </w:p>
    <w:p w14:paraId="6E511A74" w14:textId="77777777" w:rsidR="00D633E8" w:rsidRPr="00BD6196" w:rsidRDefault="00D633E8" w:rsidP="00D633E8">
      <w:pPr>
        <w:pStyle w:val="ListParagraph"/>
        <w:spacing w:line="276" w:lineRule="auto"/>
        <w:ind w:left="1080"/>
        <w:rPr>
          <w:rFonts w:ascii="Arial" w:hAnsi="Arial" w:cs="Arial"/>
          <w:sz w:val="24"/>
        </w:rPr>
      </w:pPr>
    </w:p>
    <w:p w14:paraId="524B02CE" w14:textId="5473161C" w:rsidR="001165CA" w:rsidRPr="00BD6196" w:rsidRDefault="001165CA" w:rsidP="00BD6196">
      <w:pPr>
        <w:pStyle w:val="ListParagraph"/>
        <w:numPr>
          <w:ilvl w:val="0"/>
          <w:numId w:val="7"/>
        </w:numPr>
        <w:spacing w:line="276" w:lineRule="auto"/>
        <w:rPr>
          <w:rFonts w:ascii="Arial" w:hAnsi="Arial" w:cs="Arial"/>
          <w:sz w:val="24"/>
        </w:rPr>
      </w:pPr>
      <w:r w:rsidRPr="00BD6196">
        <w:rPr>
          <w:rFonts w:ascii="Arial" w:hAnsi="Arial" w:cs="Arial"/>
          <w:sz w:val="24"/>
        </w:rPr>
        <w:t>For non-pay inflation: actual inflation experienced by the wider economy but weighted by</w:t>
      </w:r>
      <w:r w:rsidR="006B64DA" w:rsidRPr="00BD6196">
        <w:rPr>
          <w:rFonts w:ascii="Arial" w:hAnsi="Arial" w:cs="Arial"/>
          <w:sz w:val="24"/>
        </w:rPr>
        <w:t xml:space="preserve"> how much</w:t>
      </w:r>
      <w:r w:rsidR="0088429A" w:rsidRPr="00BD6196">
        <w:rPr>
          <w:rFonts w:ascii="Arial" w:hAnsi="Arial" w:cs="Arial"/>
          <w:sz w:val="24"/>
        </w:rPr>
        <w:t xml:space="preserve"> the NHS </w:t>
      </w:r>
      <w:r w:rsidRPr="00BD6196">
        <w:rPr>
          <w:rFonts w:ascii="Arial" w:hAnsi="Arial" w:cs="Arial"/>
          <w:sz w:val="24"/>
        </w:rPr>
        <w:t>spends</w:t>
      </w:r>
      <w:r w:rsidR="006B64DA" w:rsidRPr="00BD6196">
        <w:rPr>
          <w:rFonts w:ascii="Arial" w:hAnsi="Arial" w:cs="Arial"/>
          <w:sz w:val="24"/>
        </w:rPr>
        <w:t xml:space="preserve"> on the item</w:t>
      </w:r>
      <w:r w:rsidRPr="00BD6196">
        <w:rPr>
          <w:rFonts w:ascii="Arial" w:hAnsi="Arial" w:cs="Arial"/>
          <w:sz w:val="24"/>
        </w:rPr>
        <w:t xml:space="preserve">. This can be used to deflate transport costs by proxy of patient transport inflation. </w:t>
      </w:r>
    </w:p>
    <w:p w14:paraId="04674E69" w14:textId="77777777" w:rsidR="00A001EA" w:rsidRDefault="00A001EA" w:rsidP="00BD6196">
      <w:pPr>
        <w:pStyle w:val="ListParagraph"/>
        <w:spacing w:line="276" w:lineRule="auto"/>
        <w:ind w:left="0"/>
        <w:rPr>
          <w:rFonts w:ascii="Arial" w:hAnsi="Arial" w:cs="Arial"/>
          <w:b/>
          <w:sz w:val="28"/>
        </w:rPr>
      </w:pPr>
    </w:p>
    <w:p w14:paraId="640970C0" w14:textId="04F9F637" w:rsidR="001165CA" w:rsidRPr="00BD6196" w:rsidRDefault="001165CA" w:rsidP="00BD6196">
      <w:pPr>
        <w:pStyle w:val="ListParagraph"/>
        <w:spacing w:line="276" w:lineRule="auto"/>
        <w:ind w:left="0"/>
        <w:rPr>
          <w:rFonts w:ascii="Arial" w:hAnsi="Arial" w:cs="Arial"/>
          <w:b/>
          <w:sz w:val="28"/>
        </w:rPr>
      </w:pPr>
      <w:r w:rsidRPr="00BD6196">
        <w:rPr>
          <w:rFonts w:ascii="Arial" w:hAnsi="Arial" w:cs="Arial"/>
          <w:b/>
          <w:sz w:val="28"/>
        </w:rPr>
        <w:t xml:space="preserve">Limitations </w:t>
      </w:r>
    </w:p>
    <w:p w14:paraId="5E96C072" w14:textId="7A4F7A95" w:rsidR="001165CA" w:rsidRPr="00BD6196" w:rsidRDefault="009161BA" w:rsidP="00BD6196">
      <w:pPr>
        <w:pStyle w:val="ListParagraph"/>
        <w:numPr>
          <w:ilvl w:val="0"/>
          <w:numId w:val="6"/>
        </w:numPr>
        <w:spacing w:line="276" w:lineRule="auto"/>
        <w:rPr>
          <w:rFonts w:ascii="Arial" w:hAnsi="Arial" w:cs="Arial"/>
          <w:sz w:val="24"/>
        </w:rPr>
      </w:pPr>
      <w:r>
        <w:rPr>
          <w:rFonts w:ascii="Arial" w:hAnsi="Arial" w:cs="Arial"/>
          <w:sz w:val="24"/>
        </w:rPr>
        <w:t>N</w:t>
      </w:r>
      <w:r w:rsidR="001165CA" w:rsidRPr="00BD6196">
        <w:rPr>
          <w:rFonts w:ascii="Arial" w:hAnsi="Arial" w:cs="Arial"/>
          <w:sz w:val="24"/>
        </w:rPr>
        <w:t xml:space="preserve">on-pay inflation is measured by proxy </w:t>
      </w:r>
      <w:r w:rsidR="0088429A" w:rsidRPr="00BD6196">
        <w:rPr>
          <w:rFonts w:ascii="Arial" w:hAnsi="Arial" w:cs="Arial"/>
          <w:sz w:val="24"/>
        </w:rPr>
        <w:t xml:space="preserve">as we </w:t>
      </w:r>
      <w:proofErr w:type="gramStart"/>
      <w:r w:rsidR="0088429A" w:rsidRPr="00BD6196">
        <w:rPr>
          <w:rFonts w:ascii="Arial" w:hAnsi="Arial" w:cs="Arial"/>
          <w:sz w:val="24"/>
        </w:rPr>
        <w:t>are able to</w:t>
      </w:r>
      <w:proofErr w:type="gramEnd"/>
      <w:r w:rsidR="0088429A" w:rsidRPr="00BD6196">
        <w:rPr>
          <w:rFonts w:ascii="Arial" w:hAnsi="Arial" w:cs="Arial"/>
          <w:sz w:val="24"/>
        </w:rPr>
        <w:t xml:space="preserve"> measure and calculate only the </w:t>
      </w:r>
      <w:r w:rsidR="001165CA" w:rsidRPr="00BD6196">
        <w:rPr>
          <w:rFonts w:ascii="Arial" w:hAnsi="Arial" w:cs="Arial"/>
          <w:sz w:val="24"/>
        </w:rPr>
        <w:t>actual inflation to the consumer instead of actual inflation to the supplier</w:t>
      </w:r>
      <w:r w:rsidR="00E15771" w:rsidRPr="00BD6196">
        <w:rPr>
          <w:rFonts w:ascii="Arial" w:hAnsi="Arial" w:cs="Arial"/>
          <w:sz w:val="24"/>
        </w:rPr>
        <w:t xml:space="preserve"> (due to </w:t>
      </w:r>
      <w:r w:rsidR="0088429A" w:rsidRPr="00BD6196">
        <w:rPr>
          <w:rFonts w:ascii="Arial" w:hAnsi="Arial" w:cs="Arial"/>
          <w:sz w:val="24"/>
        </w:rPr>
        <w:t xml:space="preserve">unavailability of data on prices paid by </w:t>
      </w:r>
      <w:r w:rsidR="00E15771" w:rsidRPr="00BD6196">
        <w:rPr>
          <w:rFonts w:ascii="Arial" w:hAnsi="Arial" w:cs="Arial"/>
          <w:sz w:val="24"/>
        </w:rPr>
        <w:t>supplier</w:t>
      </w:r>
      <w:r w:rsidR="0088429A" w:rsidRPr="00BD6196">
        <w:rPr>
          <w:rFonts w:ascii="Arial" w:hAnsi="Arial" w:cs="Arial"/>
          <w:sz w:val="24"/>
        </w:rPr>
        <w:t>s</w:t>
      </w:r>
      <w:r w:rsidR="00E15771" w:rsidRPr="00BD6196">
        <w:rPr>
          <w:rFonts w:ascii="Arial" w:hAnsi="Arial" w:cs="Arial"/>
          <w:sz w:val="24"/>
        </w:rPr>
        <w:t>)</w:t>
      </w:r>
      <w:r w:rsidR="001165CA" w:rsidRPr="00BD6196">
        <w:rPr>
          <w:rFonts w:ascii="Arial" w:hAnsi="Arial" w:cs="Arial"/>
          <w:sz w:val="24"/>
        </w:rPr>
        <w:t xml:space="preserve">. This limits the applicability of the non-pay inflation measure due to it being an estimation. It should thus be caveated before use. </w:t>
      </w:r>
    </w:p>
    <w:p w14:paraId="2FB7AB26" w14:textId="77777777" w:rsidR="006B64DA" w:rsidRPr="00BD6196" w:rsidRDefault="006B64DA" w:rsidP="00BD6196">
      <w:pPr>
        <w:pStyle w:val="ListParagraph"/>
        <w:spacing w:line="276" w:lineRule="auto"/>
        <w:ind w:left="360"/>
        <w:rPr>
          <w:rFonts w:ascii="Arial" w:hAnsi="Arial" w:cs="Arial"/>
          <w:sz w:val="24"/>
        </w:rPr>
      </w:pPr>
    </w:p>
    <w:p w14:paraId="76C6C8D2" w14:textId="3870BAF1" w:rsidR="006B64DA" w:rsidRDefault="006B64DA"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We hope to improve the non-pay inflation by including more actual inflation in the future. Currently, prescribing is the only sector with this in place. </w:t>
      </w:r>
    </w:p>
    <w:p w14:paraId="119A0509" w14:textId="77777777" w:rsidR="00D633E8" w:rsidRPr="00D633E8" w:rsidRDefault="00D633E8" w:rsidP="00D633E8">
      <w:pPr>
        <w:pStyle w:val="ListParagraph"/>
        <w:rPr>
          <w:rFonts w:ascii="Arial" w:hAnsi="Arial" w:cs="Arial"/>
          <w:sz w:val="24"/>
        </w:rPr>
      </w:pPr>
    </w:p>
    <w:p w14:paraId="1778FDDD" w14:textId="77777777" w:rsidR="0088429A" w:rsidRPr="00BD6196" w:rsidRDefault="00E15771"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 following sections </w:t>
      </w:r>
      <w:r w:rsidR="0088429A" w:rsidRPr="00BD6196">
        <w:rPr>
          <w:rFonts w:ascii="Arial" w:hAnsi="Arial" w:cs="Arial"/>
          <w:sz w:val="24"/>
        </w:rPr>
        <w:t>provide further detail on the items of expenditure included in each of the five large areas of NHS spend.</w:t>
      </w:r>
    </w:p>
    <w:p w14:paraId="7E794B57" w14:textId="2AAF05A9" w:rsidR="00C761DC" w:rsidRPr="00BD6196" w:rsidRDefault="00C761DC" w:rsidP="00BD6196">
      <w:pPr>
        <w:pStyle w:val="ListParagraph"/>
        <w:spacing w:line="276" w:lineRule="auto"/>
        <w:ind w:left="0"/>
        <w:rPr>
          <w:rFonts w:ascii="Arial" w:hAnsi="Arial" w:cs="Arial"/>
          <w:sz w:val="24"/>
        </w:rPr>
      </w:pPr>
    </w:p>
    <w:p w14:paraId="32AAB8B4" w14:textId="7F4F1858" w:rsidR="00C761DC" w:rsidRPr="00BD6196" w:rsidRDefault="00CD1EFF" w:rsidP="00BD6196">
      <w:pPr>
        <w:spacing w:line="276" w:lineRule="auto"/>
        <w:rPr>
          <w:rFonts w:ascii="Arial" w:hAnsi="Arial" w:cs="Arial"/>
          <w:b/>
          <w:sz w:val="28"/>
        </w:rPr>
      </w:pPr>
      <w:r w:rsidRPr="00BD6196">
        <w:rPr>
          <w:rFonts w:ascii="Arial" w:hAnsi="Arial" w:cs="Arial"/>
          <w:b/>
          <w:sz w:val="28"/>
        </w:rPr>
        <w:lastRenderedPageBreak/>
        <w:t xml:space="preserve">NHS Providers </w:t>
      </w:r>
    </w:p>
    <w:p w14:paraId="1865DBF6" w14:textId="46937046" w:rsidR="00DB5B0C" w:rsidRPr="00BD6196" w:rsidRDefault="00DB5B0C" w:rsidP="00BD6196">
      <w:pPr>
        <w:pStyle w:val="ListParagraph"/>
        <w:numPr>
          <w:ilvl w:val="0"/>
          <w:numId w:val="6"/>
        </w:numPr>
        <w:spacing w:line="276" w:lineRule="auto"/>
        <w:rPr>
          <w:rFonts w:ascii="Arial" w:hAnsi="Arial" w:cs="Arial"/>
          <w:b/>
          <w:sz w:val="24"/>
        </w:rPr>
      </w:pPr>
      <w:r w:rsidRPr="00BD6196">
        <w:rPr>
          <w:rFonts w:ascii="Arial" w:hAnsi="Arial" w:cs="Arial"/>
          <w:sz w:val="24"/>
        </w:rPr>
        <w:t xml:space="preserve">The </w:t>
      </w:r>
      <w:r w:rsidR="00E15771" w:rsidRPr="00BD6196">
        <w:rPr>
          <w:rFonts w:ascii="Arial" w:hAnsi="Arial" w:cs="Arial"/>
          <w:sz w:val="24"/>
        </w:rPr>
        <w:t>Consolidated NHS Provider</w:t>
      </w:r>
      <w:r w:rsidRPr="00BD6196">
        <w:rPr>
          <w:rFonts w:ascii="Arial" w:hAnsi="Arial" w:cs="Arial"/>
          <w:sz w:val="24"/>
        </w:rPr>
        <w:t xml:space="preserve"> accounts detail items of spend</w:t>
      </w:r>
      <w:r w:rsidR="00E15771" w:rsidRPr="00BD6196">
        <w:rPr>
          <w:rFonts w:ascii="Arial" w:hAnsi="Arial" w:cs="Arial"/>
          <w:sz w:val="24"/>
        </w:rPr>
        <w:t xml:space="preserve"> for providers</w:t>
      </w:r>
      <w:r w:rsidRPr="00BD6196">
        <w:rPr>
          <w:rFonts w:ascii="Arial" w:hAnsi="Arial" w:cs="Arial"/>
          <w:sz w:val="24"/>
        </w:rPr>
        <w:t xml:space="preserve">. </w:t>
      </w:r>
    </w:p>
    <w:p w14:paraId="21471595" w14:textId="3F13BB0A" w:rsidR="00BD6196" w:rsidRDefault="00BD6196" w:rsidP="00BD6196">
      <w:pPr>
        <w:pStyle w:val="ListParagraph"/>
        <w:spacing w:line="276" w:lineRule="auto"/>
        <w:ind w:left="360"/>
        <w:rPr>
          <w:rFonts w:ascii="Arial" w:hAnsi="Arial" w:cs="Arial"/>
          <w:b/>
          <w:sz w:val="24"/>
        </w:rPr>
      </w:pPr>
    </w:p>
    <w:p w14:paraId="72FB342A" w14:textId="47E9462C" w:rsidR="00BD6196" w:rsidRPr="00BD6196" w:rsidRDefault="00BD6196" w:rsidP="00126EB2">
      <w:pPr>
        <w:pStyle w:val="ListParagraph"/>
        <w:spacing w:after="0" w:line="276" w:lineRule="auto"/>
        <w:ind w:left="360"/>
        <w:jc w:val="center"/>
        <w:rPr>
          <w:rFonts w:ascii="Arial" w:hAnsi="Arial" w:cs="Arial"/>
          <w:sz w:val="24"/>
          <w:u w:val="single"/>
        </w:rPr>
      </w:pPr>
      <w:r w:rsidRPr="00BD6196">
        <w:rPr>
          <w:rFonts w:ascii="Arial" w:hAnsi="Arial" w:cs="Arial"/>
          <w:sz w:val="24"/>
          <w:u w:val="single"/>
        </w:rPr>
        <w:t xml:space="preserve">Table 2: </w:t>
      </w:r>
      <w:r>
        <w:rPr>
          <w:rFonts w:ascii="Arial" w:hAnsi="Arial" w:cs="Arial"/>
          <w:sz w:val="24"/>
          <w:u w:val="single"/>
        </w:rPr>
        <w:t>NHS Provider Consolidated Accounts</w:t>
      </w:r>
      <w:r w:rsidR="00FA0F21">
        <w:rPr>
          <w:rFonts w:ascii="Arial" w:hAnsi="Arial" w:cs="Arial"/>
          <w:sz w:val="24"/>
          <w:u w:val="single"/>
        </w:rPr>
        <w:t xml:space="preserve"> (£m)</w:t>
      </w:r>
    </w:p>
    <w:tbl>
      <w:tblPr>
        <w:tblStyle w:val="TableGrid"/>
        <w:tblW w:w="9067" w:type="dxa"/>
        <w:jc w:val="center"/>
        <w:tblLook w:val="04A0" w:firstRow="1" w:lastRow="0" w:firstColumn="1" w:lastColumn="0" w:noHBand="0" w:noVBand="1"/>
      </w:tblPr>
      <w:tblGrid>
        <w:gridCol w:w="5098"/>
        <w:gridCol w:w="993"/>
        <w:gridCol w:w="992"/>
        <w:gridCol w:w="992"/>
        <w:gridCol w:w="992"/>
      </w:tblGrid>
      <w:tr w:rsidR="005B78CD" w:rsidRPr="005B78CD" w14:paraId="02847AD4" w14:textId="77777777" w:rsidTr="005B78CD">
        <w:trPr>
          <w:trHeight w:val="309"/>
          <w:jc w:val="center"/>
        </w:trPr>
        <w:tc>
          <w:tcPr>
            <w:tcW w:w="5098" w:type="dxa"/>
            <w:noWrap/>
            <w:hideMark/>
          </w:tcPr>
          <w:p w14:paraId="16EF9F20" w14:textId="77777777" w:rsidR="005B78CD" w:rsidRPr="005B78CD" w:rsidRDefault="005B78CD" w:rsidP="005B78CD">
            <w:pPr>
              <w:spacing w:line="276" w:lineRule="auto"/>
              <w:rPr>
                <w:rFonts w:ascii="Arial" w:hAnsi="Arial" w:cs="Arial"/>
                <w:b/>
                <w:bCs/>
                <w:sz w:val="20"/>
              </w:rPr>
            </w:pPr>
            <w:r w:rsidRPr="005B78CD">
              <w:rPr>
                <w:rFonts w:ascii="Arial" w:hAnsi="Arial" w:cs="Arial"/>
                <w:b/>
                <w:bCs/>
                <w:sz w:val="20"/>
              </w:rPr>
              <w:t xml:space="preserve">Trust accounts </w:t>
            </w:r>
          </w:p>
        </w:tc>
        <w:tc>
          <w:tcPr>
            <w:tcW w:w="993" w:type="dxa"/>
            <w:noWrap/>
            <w:hideMark/>
          </w:tcPr>
          <w:p w14:paraId="01B85DD4"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 xml:space="preserve"> 15/16 </w:t>
            </w:r>
          </w:p>
        </w:tc>
        <w:tc>
          <w:tcPr>
            <w:tcW w:w="992" w:type="dxa"/>
            <w:noWrap/>
            <w:hideMark/>
          </w:tcPr>
          <w:p w14:paraId="18F44145"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16/17</w:t>
            </w:r>
          </w:p>
        </w:tc>
        <w:tc>
          <w:tcPr>
            <w:tcW w:w="992" w:type="dxa"/>
            <w:noWrap/>
            <w:hideMark/>
          </w:tcPr>
          <w:p w14:paraId="6D78B0D5"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17/18</w:t>
            </w:r>
          </w:p>
        </w:tc>
        <w:tc>
          <w:tcPr>
            <w:tcW w:w="992" w:type="dxa"/>
            <w:noWrap/>
            <w:hideMark/>
          </w:tcPr>
          <w:p w14:paraId="4A24D822"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18/19</w:t>
            </w:r>
          </w:p>
        </w:tc>
      </w:tr>
      <w:tr w:rsidR="005B78CD" w:rsidRPr="005B78CD" w14:paraId="69010791" w14:textId="77777777" w:rsidTr="005B78CD">
        <w:trPr>
          <w:trHeight w:val="309"/>
          <w:jc w:val="center"/>
        </w:trPr>
        <w:tc>
          <w:tcPr>
            <w:tcW w:w="5098" w:type="dxa"/>
            <w:noWrap/>
            <w:hideMark/>
          </w:tcPr>
          <w:p w14:paraId="2F68CEC3" w14:textId="77777777" w:rsidR="005B78CD" w:rsidRPr="005B78CD" w:rsidRDefault="005B78CD" w:rsidP="005B78CD">
            <w:pPr>
              <w:spacing w:line="276" w:lineRule="auto"/>
              <w:rPr>
                <w:rFonts w:ascii="Arial" w:hAnsi="Arial" w:cs="Arial"/>
                <w:b/>
                <w:bCs/>
                <w:sz w:val="20"/>
              </w:rPr>
            </w:pPr>
            <w:r w:rsidRPr="005B78CD">
              <w:rPr>
                <w:rFonts w:ascii="Arial" w:hAnsi="Arial" w:cs="Arial"/>
                <w:b/>
                <w:bCs/>
                <w:sz w:val="20"/>
              </w:rPr>
              <w:t>Total Operating expenses</w:t>
            </w:r>
          </w:p>
        </w:tc>
        <w:tc>
          <w:tcPr>
            <w:tcW w:w="993" w:type="dxa"/>
            <w:noWrap/>
            <w:hideMark/>
          </w:tcPr>
          <w:p w14:paraId="62D0EE13"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 xml:space="preserve">  77,379 </w:t>
            </w:r>
          </w:p>
        </w:tc>
        <w:tc>
          <w:tcPr>
            <w:tcW w:w="992" w:type="dxa"/>
            <w:noWrap/>
            <w:hideMark/>
          </w:tcPr>
          <w:p w14:paraId="044A3A94"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 xml:space="preserve">  79,129 </w:t>
            </w:r>
          </w:p>
        </w:tc>
        <w:tc>
          <w:tcPr>
            <w:tcW w:w="992" w:type="dxa"/>
            <w:noWrap/>
            <w:hideMark/>
          </w:tcPr>
          <w:p w14:paraId="2EB5F3EB"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 xml:space="preserve">  80,802 </w:t>
            </w:r>
          </w:p>
        </w:tc>
        <w:tc>
          <w:tcPr>
            <w:tcW w:w="992" w:type="dxa"/>
            <w:noWrap/>
            <w:hideMark/>
          </w:tcPr>
          <w:p w14:paraId="155B4209" w14:textId="77777777" w:rsidR="005B78CD" w:rsidRPr="005B78CD" w:rsidRDefault="005B78CD" w:rsidP="005B78CD">
            <w:pPr>
              <w:spacing w:line="276" w:lineRule="auto"/>
              <w:jc w:val="right"/>
              <w:rPr>
                <w:rFonts w:ascii="Arial" w:hAnsi="Arial" w:cs="Arial"/>
                <w:b/>
                <w:bCs/>
                <w:sz w:val="20"/>
              </w:rPr>
            </w:pPr>
            <w:r w:rsidRPr="005B78CD">
              <w:rPr>
                <w:rFonts w:ascii="Arial" w:hAnsi="Arial" w:cs="Arial"/>
                <w:b/>
                <w:bCs/>
                <w:sz w:val="20"/>
              </w:rPr>
              <w:t xml:space="preserve">  85,011 </w:t>
            </w:r>
          </w:p>
        </w:tc>
      </w:tr>
      <w:tr w:rsidR="005B78CD" w:rsidRPr="005B78CD" w14:paraId="41872299" w14:textId="77777777" w:rsidTr="005B78CD">
        <w:trPr>
          <w:trHeight w:val="309"/>
          <w:jc w:val="center"/>
        </w:trPr>
        <w:tc>
          <w:tcPr>
            <w:tcW w:w="5098" w:type="dxa"/>
            <w:noWrap/>
            <w:hideMark/>
          </w:tcPr>
          <w:p w14:paraId="678C3DA2" w14:textId="77777777" w:rsidR="005B78CD" w:rsidRPr="005B78CD" w:rsidRDefault="005B78CD" w:rsidP="005B78CD">
            <w:pPr>
              <w:spacing w:line="276" w:lineRule="auto"/>
              <w:rPr>
                <w:rFonts w:ascii="Arial" w:hAnsi="Arial" w:cs="Arial"/>
                <w:sz w:val="20"/>
              </w:rPr>
            </w:pPr>
            <w:r w:rsidRPr="005B78CD">
              <w:rPr>
                <w:rFonts w:ascii="Arial" w:hAnsi="Arial" w:cs="Arial"/>
                <w:sz w:val="20"/>
              </w:rPr>
              <w:t>Purchase of healthcare from NHS and DHSC bodies</w:t>
            </w:r>
          </w:p>
        </w:tc>
        <w:tc>
          <w:tcPr>
            <w:tcW w:w="993" w:type="dxa"/>
            <w:noWrap/>
            <w:hideMark/>
          </w:tcPr>
          <w:p w14:paraId="0A2568A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592 </w:t>
            </w:r>
          </w:p>
        </w:tc>
        <w:tc>
          <w:tcPr>
            <w:tcW w:w="992" w:type="dxa"/>
            <w:noWrap/>
            <w:hideMark/>
          </w:tcPr>
          <w:p w14:paraId="582C078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74</w:t>
            </w:r>
          </w:p>
        </w:tc>
        <w:tc>
          <w:tcPr>
            <w:tcW w:w="992" w:type="dxa"/>
            <w:noWrap/>
            <w:hideMark/>
          </w:tcPr>
          <w:p w14:paraId="2C2AEAB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93 </w:t>
            </w:r>
          </w:p>
        </w:tc>
        <w:tc>
          <w:tcPr>
            <w:tcW w:w="992" w:type="dxa"/>
            <w:noWrap/>
            <w:hideMark/>
          </w:tcPr>
          <w:p w14:paraId="057A57C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82</w:t>
            </w:r>
          </w:p>
        </w:tc>
      </w:tr>
      <w:tr w:rsidR="005B78CD" w:rsidRPr="005B78CD" w14:paraId="776E7F1D" w14:textId="77777777" w:rsidTr="005B78CD">
        <w:trPr>
          <w:trHeight w:val="309"/>
          <w:jc w:val="center"/>
        </w:trPr>
        <w:tc>
          <w:tcPr>
            <w:tcW w:w="5098" w:type="dxa"/>
            <w:noWrap/>
            <w:hideMark/>
          </w:tcPr>
          <w:p w14:paraId="78471A3A" w14:textId="77777777" w:rsidR="005B78CD" w:rsidRPr="005B78CD" w:rsidRDefault="005B78CD" w:rsidP="005B78CD">
            <w:pPr>
              <w:spacing w:line="276" w:lineRule="auto"/>
              <w:rPr>
                <w:rFonts w:ascii="Arial" w:hAnsi="Arial" w:cs="Arial"/>
                <w:sz w:val="20"/>
              </w:rPr>
            </w:pPr>
            <w:r w:rsidRPr="005B78CD">
              <w:rPr>
                <w:rFonts w:ascii="Arial" w:hAnsi="Arial" w:cs="Arial"/>
                <w:sz w:val="20"/>
              </w:rPr>
              <w:t>Purchase of healthcare from non-NHS and non-DHSC</w:t>
            </w:r>
          </w:p>
        </w:tc>
        <w:tc>
          <w:tcPr>
            <w:tcW w:w="993" w:type="dxa"/>
            <w:noWrap/>
            <w:hideMark/>
          </w:tcPr>
          <w:p w14:paraId="5AC60A5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947 </w:t>
            </w:r>
          </w:p>
        </w:tc>
        <w:tc>
          <w:tcPr>
            <w:tcW w:w="992" w:type="dxa"/>
            <w:noWrap/>
            <w:hideMark/>
          </w:tcPr>
          <w:p w14:paraId="7A86D15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1078</w:t>
            </w:r>
          </w:p>
        </w:tc>
        <w:tc>
          <w:tcPr>
            <w:tcW w:w="992" w:type="dxa"/>
            <w:noWrap/>
            <w:hideMark/>
          </w:tcPr>
          <w:p w14:paraId="2118EEF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1,106 </w:t>
            </w:r>
          </w:p>
        </w:tc>
        <w:tc>
          <w:tcPr>
            <w:tcW w:w="992" w:type="dxa"/>
            <w:noWrap/>
            <w:hideMark/>
          </w:tcPr>
          <w:p w14:paraId="54951C6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1326</w:t>
            </w:r>
          </w:p>
        </w:tc>
      </w:tr>
      <w:tr w:rsidR="005B78CD" w:rsidRPr="005B78CD" w14:paraId="0DA037AC" w14:textId="77777777" w:rsidTr="005B78CD">
        <w:trPr>
          <w:trHeight w:val="309"/>
          <w:jc w:val="center"/>
        </w:trPr>
        <w:tc>
          <w:tcPr>
            <w:tcW w:w="5098" w:type="dxa"/>
            <w:noWrap/>
            <w:hideMark/>
          </w:tcPr>
          <w:p w14:paraId="650F7F7B" w14:textId="77777777" w:rsidR="005B78CD" w:rsidRPr="005B78CD" w:rsidRDefault="005B78CD" w:rsidP="005B78CD">
            <w:pPr>
              <w:spacing w:line="276" w:lineRule="auto"/>
              <w:rPr>
                <w:rFonts w:ascii="Arial" w:hAnsi="Arial" w:cs="Arial"/>
                <w:sz w:val="20"/>
              </w:rPr>
            </w:pPr>
            <w:r w:rsidRPr="005B78CD">
              <w:rPr>
                <w:rFonts w:ascii="Arial" w:hAnsi="Arial" w:cs="Arial"/>
                <w:sz w:val="20"/>
              </w:rPr>
              <w:t>Purchase of social care</w:t>
            </w:r>
          </w:p>
        </w:tc>
        <w:tc>
          <w:tcPr>
            <w:tcW w:w="993" w:type="dxa"/>
            <w:noWrap/>
            <w:hideMark/>
          </w:tcPr>
          <w:p w14:paraId="1E9A8CF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200 </w:t>
            </w:r>
          </w:p>
        </w:tc>
        <w:tc>
          <w:tcPr>
            <w:tcW w:w="992" w:type="dxa"/>
            <w:noWrap/>
            <w:hideMark/>
          </w:tcPr>
          <w:p w14:paraId="2A1DCBA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283</w:t>
            </w:r>
          </w:p>
        </w:tc>
        <w:tc>
          <w:tcPr>
            <w:tcW w:w="992" w:type="dxa"/>
            <w:noWrap/>
            <w:hideMark/>
          </w:tcPr>
          <w:p w14:paraId="541B625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182 </w:t>
            </w:r>
          </w:p>
        </w:tc>
        <w:tc>
          <w:tcPr>
            <w:tcW w:w="992" w:type="dxa"/>
            <w:noWrap/>
            <w:hideMark/>
          </w:tcPr>
          <w:p w14:paraId="3997BFA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183</w:t>
            </w:r>
          </w:p>
        </w:tc>
      </w:tr>
      <w:tr w:rsidR="005B78CD" w:rsidRPr="005B78CD" w14:paraId="6B0EBE87" w14:textId="77777777" w:rsidTr="005B78CD">
        <w:trPr>
          <w:trHeight w:val="309"/>
          <w:jc w:val="center"/>
        </w:trPr>
        <w:tc>
          <w:tcPr>
            <w:tcW w:w="5098" w:type="dxa"/>
            <w:noWrap/>
            <w:hideMark/>
          </w:tcPr>
          <w:p w14:paraId="56847855" w14:textId="77777777" w:rsidR="005B78CD" w:rsidRPr="005B78CD" w:rsidRDefault="005B78CD" w:rsidP="005B78CD">
            <w:pPr>
              <w:spacing w:line="276" w:lineRule="auto"/>
              <w:rPr>
                <w:rFonts w:ascii="Arial" w:hAnsi="Arial" w:cs="Arial"/>
                <w:sz w:val="20"/>
              </w:rPr>
            </w:pPr>
            <w:r w:rsidRPr="005B78CD">
              <w:rPr>
                <w:rFonts w:ascii="Arial" w:hAnsi="Arial" w:cs="Arial"/>
                <w:sz w:val="20"/>
              </w:rPr>
              <w:t>Employee expenses - staff</w:t>
            </w:r>
          </w:p>
        </w:tc>
        <w:tc>
          <w:tcPr>
            <w:tcW w:w="993" w:type="dxa"/>
            <w:noWrap/>
            <w:hideMark/>
          </w:tcPr>
          <w:p w14:paraId="33092D3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48,611 </w:t>
            </w:r>
          </w:p>
        </w:tc>
        <w:tc>
          <w:tcPr>
            <w:tcW w:w="992" w:type="dxa"/>
            <w:noWrap/>
            <w:hideMark/>
          </w:tcPr>
          <w:p w14:paraId="02189D1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50045</w:t>
            </w:r>
          </w:p>
        </w:tc>
        <w:tc>
          <w:tcPr>
            <w:tcW w:w="992" w:type="dxa"/>
            <w:noWrap/>
            <w:hideMark/>
          </w:tcPr>
          <w:p w14:paraId="054FCD89"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51,600 </w:t>
            </w:r>
          </w:p>
        </w:tc>
        <w:tc>
          <w:tcPr>
            <w:tcW w:w="992" w:type="dxa"/>
            <w:noWrap/>
            <w:hideMark/>
          </w:tcPr>
          <w:p w14:paraId="618CA12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54198</w:t>
            </w:r>
          </w:p>
        </w:tc>
      </w:tr>
      <w:tr w:rsidR="005B78CD" w:rsidRPr="005B78CD" w14:paraId="0DF77E04" w14:textId="77777777" w:rsidTr="005B78CD">
        <w:trPr>
          <w:trHeight w:val="309"/>
          <w:jc w:val="center"/>
        </w:trPr>
        <w:tc>
          <w:tcPr>
            <w:tcW w:w="5098" w:type="dxa"/>
            <w:noWrap/>
            <w:hideMark/>
          </w:tcPr>
          <w:p w14:paraId="2FB03782" w14:textId="77777777" w:rsidR="005B78CD" w:rsidRPr="005B78CD" w:rsidRDefault="005B78CD" w:rsidP="005B78CD">
            <w:pPr>
              <w:spacing w:line="276" w:lineRule="auto"/>
              <w:rPr>
                <w:rFonts w:ascii="Arial" w:hAnsi="Arial" w:cs="Arial"/>
                <w:sz w:val="20"/>
              </w:rPr>
            </w:pPr>
            <w:r w:rsidRPr="005B78CD">
              <w:rPr>
                <w:rFonts w:ascii="Arial" w:hAnsi="Arial" w:cs="Arial"/>
                <w:sz w:val="20"/>
              </w:rPr>
              <w:t>Non-executive directors</w:t>
            </w:r>
          </w:p>
        </w:tc>
        <w:tc>
          <w:tcPr>
            <w:tcW w:w="993" w:type="dxa"/>
            <w:noWrap/>
            <w:hideMark/>
          </w:tcPr>
          <w:p w14:paraId="164E307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27 </w:t>
            </w:r>
          </w:p>
        </w:tc>
        <w:tc>
          <w:tcPr>
            <w:tcW w:w="992" w:type="dxa"/>
            <w:noWrap/>
            <w:hideMark/>
          </w:tcPr>
          <w:p w14:paraId="50A5646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28 </w:t>
            </w:r>
          </w:p>
        </w:tc>
        <w:tc>
          <w:tcPr>
            <w:tcW w:w="992" w:type="dxa"/>
            <w:noWrap/>
            <w:hideMark/>
          </w:tcPr>
          <w:p w14:paraId="740A695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28 </w:t>
            </w:r>
          </w:p>
        </w:tc>
        <w:tc>
          <w:tcPr>
            <w:tcW w:w="992" w:type="dxa"/>
            <w:noWrap/>
            <w:hideMark/>
          </w:tcPr>
          <w:p w14:paraId="4E78DE5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28 </w:t>
            </w:r>
          </w:p>
        </w:tc>
      </w:tr>
      <w:tr w:rsidR="005B78CD" w:rsidRPr="005B78CD" w14:paraId="615F0C86" w14:textId="77777777" w:rsidTr="005B78CD">
        <w:trPr>
          <w:trHeight w:val="309"/>
          <w:jc w:val="center"/>
        </w:trPr>
        <w:tc>
          <w:tcPr>
            <w:tcW w:w="5098" w:type="dxa"/>
            <w:noWrap/>
            <w:hideMark/>
          </w:tcPr>
          <w:p w14:paraId="6AAA05F7" w14:textId="77777777" w:rsidR="005B78CD" w:rsidRPr="005B78CD" w:rsidRDefault="005B78CD" w:rsidP="005B78CD">
            <w:pPr>
              <w:spacing w:line="276" w:lineRule="auto"/>
              <w:rPr>
                <w:rFonts w:ascii="Arial" w:hAnsi="Arial" w:cs="Arial"/>
                <w:sz w:val="20"/>
              </w:rPr>
            </w:pPr>
            <w:r w:rsidRPr="005B78CD">
              <w:rPr>
                <w:rFonts w:ascii="Arial" w:hAnsi="Arial" w:cs="Arial"/>
                <w:sz w:val="20"/>
              </w:rPr>
              <w:t>Supplies and services - clinical</w:t>
            </w:r>
          </w:p>
        </w:tc>
        <w:tc>
          <w:tcPr>
            <w:tcW w:w="993" w:type="dxa"/>
            <w:noWrap/>
            <w:hideMark/>
          </w:tcPr>
          <w:p w14:paraId="17B3BC8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6,447 </w:t>
            </w:r>
          </w:p>
        </w:tc>
        <w:tc>
          <w:tcPr>
            <w:tcW w:w="992" w:type="dxa"/>
            <w:noWrap/>
            <w:hideMark/>
          </w:tcPr>
          <w:p w14:paraId="655390A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6,343 </w:t>
            </w:r>
          </w:p>
        </w:tc>
        <w:tc>
          <w:tcPr>
            <w:tcW w:w="992" w:type="dxa"/>
            <w:noWrap/>
            <w:hideMark/>
          </w:tcPr>
          <w:p w14:paraId="51E1572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6,428 </w:t>
            </w:r>
          </w:p>
        </w:tc>
        <w:tc>
          <w:tcPr>
            <w:tcW w:w="992" w:type="dxa"/>
            <w:noWrap/>
            <w:hideMark/>
          </w:tcPr>
          <w:p w14:paraId="4CD9FA2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6,521 </w:t>
            </w:r>
          </w:p>
        </w:tc>
      </w:tr>
      <w:tr w:rsidR="005B78CD" w:rsidRPr="005B78CD" w14:paraId="0098D985" w14:textId="77777777" w:rsidTr="005B78CD">
        <w:trPr>
          <w:trHeight w:val="309"/>
          <w:jc w:val="center"/>
        </w:trPr>
        <w:tc>
          <w:tcPr>
            <w:tcW w:w="5098" w:type="dxa"/>
            <w:noWrap/>
            <w:hideMark/>
          </w:tcPr>
          <w:p w14:paraId="167066C5"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Supplies and services - general </w:t>
            </w:r>
          </w:p>
        </w:tc>
        <w:tc>
          <w:tcPr>
            <w:tcW w:w="993" w:type="dxa"/>
            <w:noWrap/>
            <w:hideMark/>
          </w:tcPr>
          <w:p w14:paraId="7123513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1,397 </w:t>
            </w:r>
          </w:p>
        </w:tc>
        <w:tc>
          <w:tcPr>
            <w:tcW w:w="992" w:type="dxa"/>
            <w:noWrap/>
            <w:hideMark/>
          </w:tcPr>
          <w:p w14:paraId="72F0311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1319</w:t>
            </w:r>
          </w:p>
        </w:tc>
        <w:tc>
          <w:tcPr>
            <w:tcW w:w="992" w:type="dxa"/>
            <w:noWrap/>
            <w:hideMark/>
          </w:tcPr>
          <w:p w14:paraId="0397B4C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1,388 </w:t>
            </w:r>
          </w:p>
        </w:tc>
        <w:tc>
          <w:tcPr>
            <w:tcW w:w="992" w:type="dxa"/>
            <w:noWrap/>
            <w:hideMark/>
          </w:tcPr>
          <w:p w14:paraId="6DFF923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1431</w:t>
            </w:r>
          </w:p>
        </w:tc>
      </w:tr>
      <w:tr w:rsidR="005B78CD" w:rsidRPr="005B78CD" w14:paraId="3589B276" w14:textId="77777777" w:rsidTr="005B78CD">
        <w:trPr>
          <w:trHeight w:val="309"/>
          <w:jc w:val="center"/>
        </w:trPr>
        <w:tc>
          <w:tcPr>
            <w:tcW w:w="5098" w:type="dxa"/>
            <w:noWrap/>
            <w:hideMark/>
          </w:tcPr>
          <w:p w14:paraId="02DD63EA" w14:textId="77777777" w:rsidR="005B78CD" w:rsidRPr="005B78CD" w:rsidRDefault="005B78CD" w:rsidP="005B78CD">
            <w:pPr>
              <w:spacing w:line="276" w:lineRule="auto"/>
              <w:rPr>
                <w:rFonts w:ascii="Arial" w:hAnsi="Arial" w:cs="Arial"/>
                <w:sz w:val="20"/>
              </w:rPr>
            </w:pPr>
            <w:r w:rsidRPr="005B78CD">
              <w:rPr>
                <w:rFonts w:ascii="Arial" w:hAnsi="Arial" w:cs="Arial"/>
                <w:sz w:val="20"/>
              </w:rPr>
              <w:t>Drug costs</w:t>
            </w:r>
          </w:p>
        </w:tc>
        <w:tc>
          <w:tcPr>
            <w:tcW w:w="993" w:type="dxa"/>
            <w:noWrap/>
            <w:hideMark/>
          </w:tcPr>
          <w:p w14:paraId="024EBC0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6,525 </w:t>
            </w:r>
          </w:p>
        </w:tc>
        <w:tc>
          <w:tcPr>
            <w:tcW w:w="992" w:type="dxa"/>
            <w:noWrap/>
            <w:hideMark/>
          </w:tcPr>
          <w:p w14:paraId="218F805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6867</w:t>
            </w:r>
          </w:p>
        </w:tc>
        <w:tc>
          <w:tcPr>
            <w:tcW w:w="992" w:type="dxa"/>
            <w:noWrap/>
            <w:hideMark/>
          </w:tcPr>
          <w:p w14:paraId="193A57A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7,087 </w:t>
            </w:r>
          </w:p>
        </w:tc>
        <w:tc>
          <w:tcPr>
            <w:tcW w:w="992" w:type="dxa"/>
            <w:noWrap/>
            <w:hideMark/>
          </w:tcPr>
          <w:p w14:paraId="6E40585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7211</w:t>
            </w:r>
          </w:p>
        </w:tc>
      </w:tr>
      <w:tr w:rsidR="005B78CD" w:rsidRPr="005B78CD" w14:paraId="3A588C56" w14:textId="77777777" w:rsidTr="005B78CD">
        <w:trPr>
          <w:trHeight w:val="309"/>
          <w:jc w:val="center"/>
        </w:trPr>
        <w:tc>
          <w:tcPr>
            <w:tcW w:w="5098" w:type="dxa"/>
            <w:noWrap/>
            <w:hideMark/>
          </w:tcPr>
          <w:p w14:paraId="7E901CD3" w14:textId="77777777" w:rsidR="005B78CD" w:rsidRPr="005B78CD" w:rsidRDefault="005B78CD" w:rsidP="005B78CD">
            <w:pPr>
              <w:spacing w:line="276" w:lineRule="auto"/>
              <w:rPr>
                <w:rFonts w:ascii="Arial" w:hAnsi="Arial" w:cs="Arial"/>
                <w:sz w:val="20"/>
              </w:rPr>
            </w:pPr>
            <w:r w:rsidRPr="005B78CD">
              <w:rPr>
                <w:rFonts w:ascii="Arial" w:hAnsi="Arial" w:cs="Arial"/>
                <w:sz w:val="20"/>
              </w:rPr>
              <w:t>Inventories written down</w:t>
            </w:r>
          </w:p>
        </w:tc>
        <w:tc>
          <w:tcPr>
            <w:tcW w:w="993" w:type="dxa"/>
            <w:noWrap/>
            <w:hideMark/>
          </w:tcPr>
          <w:p w14:paraId="79AEC13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10 </w:t>
            </w:r>
          </w:p>
        </w:tc>
        <w:tc>
          <w:tcPr>
            <w:tcW w:w="992" w:type="dxa"/>
            <w:noWrap/>
            <w:hideMark/>
          </w:tcPr>
          <w:p w14:paraId="4036361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10</w:t>
            </w:r>
          </w:p>
        </w:tc>
        <w:tc>
          <w:tcPr>
            <w:tcW w:w="992" w:type="dxa"/>
            <w:noWrap/>
            <w:hideMark/>
          </w:tcPr>
          <w:p w14:paraId="7AC4E5B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12 </w:t>
            </w:r>
          </w:p>
        </w:tc>
        <w:tc>
          <w:tcPr>
            <w:tcW w:w="992" w:type="dxa"/>
            <w:noWrap/>
            <w:hideMark/>
          </w:tcPr>
          <w:p w14:paraId="6EAE935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11</w:t>
            </w:r>
          </w:p>
        </w:tc>
      </w:tr>
      <w:tr w:rsidR="005B78CD" w:rsidRPr="005B78CD" w14:paraId="1347683E" w14:textId="77777777" w:rsidTr="005B78CD">
        <w:trPr>
          <w:trHeight w:val="309"/>
          <w:jc w:val="center"/>
        </w:trPr>
        <w:tc>
          <w:tcPr>
            <w:tcW w:w="5098" w:type="dxa"/>
            <w:noWrap/>
            <w:hideMark/>
          </w:tcPr>
          <w:p w14:paraId="720C9D93" w14:textId="77777777" w:rsidR="005B78CD" w:rsidRPr="005B78CD" w:rsidRDefault="005B78CD" w:rsidP="005B78CD">
            <w:pPr>
              <w:spacing w:line="276" w:lineRule="auto"/>
              <w:rPr>
                <w:rFonts w:ascii="Arial" w:hAnsi="Arial" w:cs="Arial"/>
                <w:sz w:val="20"/>
              </w:rPr>
            </w:pPr>
            <w:r w:rsidRPr="005B78CD">
              <w:rPr>
                <w:rFonts w:ascii="Arial" w:hAnsi="Arial" w:cs="Arial"/>
                <w:sz w:val="20"/>
              </w:rPr>
              <w:t>Consultancy costs</w:t>
            </w:r>
          </w:p>
        </w:tc>
        <w:tc>
          <w:tcPr>
            <w:tcW w:w="993" w:type="dxa"/>
            <w:noWrap/>
            <w:hideMark/>
          </w:tcPr>
          <w:p w14:paraId="6906048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299 </w:t>
            </w:r>
          </w:p>
        </w:tc>
        <w:tc>
          <w:tcPr>
            <w:tcW w:w="992" w:type="dxa"/>
            <w:noWrap/>
            <w:hideMark/>
          </w:tcPr>
          <w:p w14:paraId="26E910F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259</w:t>
            </w:r>
          </w:p>
        </w:tc>
        <w:tc>
          <w:tcPr>
            <w:tcW w:w="992" w:type="dxa"/>
            <w:noWrap/>
            <w:hideMark/>
          </w:tcPr>
          <w:p w14:paraId="563C2CE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247 </w:t>
            </w:r>
          </w:p>
        </w:tc>
        <w:tc>
          <w:tcPr>
            <w:tcW w:w="992" w:type="dxa"/>
            <w:noWrap/>
            <w:hideMark/>
          </w:tcPr>
          <w:p w14:paraId="5D9409C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227</w:t>
            </w:r>
          </w:p>
        </w:tc>
      </w:tr>
      <w:tr w:rsidR="005B78CD" w:rsidRPr="005B78CD" w14:paraId="7B57DA5F" w14:textId="77777777" w:rsidTr="005B78CD">
        <w:trPr>
          <w:trHeight w:val="309"/>
          <w:jc w:val="center"/>
        </w:trPr>
        <w:tc>
          <w:tcPr>
            <w:tcW w:w="5098" w:type="dxa"/>
            <w:noWrap/>
            <w:hideMark/>
          </w:tcPr>
          <w:p w14:paraId="3576C34D"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Establishment </w:t>
            </w:r>
          </w:p>
        </w:tc>
        <w:tc>
          <w:tcPr>
            <w:tcW w:w="993" w:type="dxa"/>
            <w:noWrap/>
            <w:hideMark/>
          </w:tcPr>
          <w:p w14:paraId="282F445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939 </w:t>
            </w:r>
          </w:p>
        </w:tc>
        <w:tc>
          <w:tcPr>
            <w:tcW w:w="992" w:type="dxa"/>
            <w:noWrap/>
            <w:hideMark/>
          </w:tcPr>
          <w:p w14:paraId="385D1ED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871</w:t>
            </w:r>
          </w:p>
        </w:tc>
        <w:tc>
          <w:tcPr>
            <w:tcW w:w="992" w:type="dxa"/>
            <w:noWrap/>
            <w:hideMark/>
          </w:tcPr>
          <w:p w14:paraId="6773D24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881 </w:t>
            </w:r>
          </w:p>
        </w:tc>
        <w:tc>
          <w:tcPr>
            <w:tcW w:w="992" w:type="dxa"/>
            <w:noWrap/>
            <w:hideMark/>
          </w:tcPr>
          <w:p w14:paraId="6157AB6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920</w:t>
            </w:r>
          </w:p>
        </w:tc>
      </w:tr>
      <w:tr w:rsidR="005B78CD" w:rsidRPr="005B78CD" w14:paraId="44BC2980" w14:textId="77777777" w:rsidTr="005B78CD">
        <w:trPr>
          <w:trHeight w:val="309"/>
          <w:jc w:val="center"/>
        </w:trPr>
        <w:tc>
          <w:tcPr>
            <w:tcW w:w="5098" w:type="dxa"/>
            <w:noWrap/>
            <w:hideMark/>
          </w:tcPr>
          <w:p w14:paraId="746158AF"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Premises </w:t>
            </w:r>
          </w:p>
        </w:tc>
        <w:tc>
          <w:tcPr>
            <w:tcW w:w="993" w:type="dxa"/>
            <w:noWrap/>
            <w:hideMark/>
          </w:tcPr>
          <w:p w14:paraId="55941A4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3,285 </w:t>
            </w:r>
          </w:p>
        </w:tc>
        <w:tc>
          <w:tcPr>
            <w:tcW w:w="992" w:type="dxa"/>
            <w:noWrap/>
            <w:hideMark/>
          </w:tcPr>
          <w:p w14:paraId="2DBFD9A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2874</w:t>
            </w:r>
          </w:p>
        </w:tc>
        <w:tc>
          <w:tcPr>
            <w:tcW w:w="992" w:type="dxa"/>
            <w:noWrap/>
            <w:hideMark/>
          </w:tcPr>
          <w:p w14:paraId="340D8B5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2,995 </w:t>
            </w:r>
          </w:p>
        </w:tc>
        <w:tc>
          <w:tcPr>
            <w:tcW w:w="992" w:type="dxa"/>
            <w:noWrap/>
            <w:hideMark/>
          </w:tcPr>
          <w:p w14:paraId="06A6B6B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3181</w:t>
            </w:r>
          </w:p>
        </w:tc>
      </w:tr>
      <w:tr w:rsidR="005B78CD" w:rsidRPr="005B78CD" w14:paraId="1EEB494A" w14:textId="77777777" w:rsidTr="005B78CD">
        <w:trPr>
          <w:trHeight w:val="309"/>
          <w:jc w:val="center"/>
        </w:trPr>
        <w:tc>
          <w:tcPr>
            <w:tcW w:w="5098" w:type="dxa"/>
            <w:noWrap/>
            <w:hideMark/>
          </w:tcPr>
          <w:p w14:paraId="0190F4FC" w14:textId="77777777" w:rsidR="005B78CD" w:rsidRPr="005B78CD" w:rsidRDefault="005B78CD" w:rsidP="005B78CD">
            <w:pPr>
              <w:spacing w:line="276" w:lineRule="auto"/>
              <w:rPr>
                <w:rFonts w:ascii="Arial" w:hAnsi="Arial" w:cs="Arial"/>
                <w:sz w:val="20"/>
              </w:rPr>
            </w:pPr>
            <w:r w:rsidRPr="005B78CD">
              <w:rPr>
                <w:rFonts w:ascii="Arial" w:hAnsi="Arial" w:cs="Arial"/>
                <w:sz w:val="20"/>
              </w:rPr>
              <w:t>Transport (including patient travel)</w:t>
            </w:r>
          </w:p>
        </w:tc>
        <w:tc>
          <w:tcPr>
            <w:tcW w:w="993" w:type="dxa"/>
            <w:noWrap/>
            <w:hideMark/>
          </w:tcPr>
          <w:p w14:paraId="3113271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627 </w:t>
            </w:r>
          </w:p>
        </w:tc>
        <w:tc>
          <w:tcPr>
            <w:tcW w:w="992" w:type="dxa"/>
            <w:noWrap/>
            <w:hideMark/>
          </w:tcPr>
          <w:p w14:paraId="46CF520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648</w:t>
            </w:r>
          </w:p>
        </w:tc>
        <w:tc>
          <w:tcPr>
            <w:tcW w:w="992" w:type="dxa"/>
            <w:noWrap/>
            <w:hideMark/>
          </w:tcPr>
          <w:p w14:paraId="1A8AD67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664 </w:t>
            </w:r>
          </w:p>
        </w:tc>
        <w:tc>
          <w:tcPr>
            <w:tcW w:w="992" w:type="dxa"/>
            <w:noWrap/>
            <w:hideMark/>
          </w:tcPr>
          <w:p w14:paraId="5B531F79"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699</w:t>
            </w:r>
          </w:p>
        </w:tc>
      </w:tr>
      <w:tr w:rsidR="005B78CD" w:rsidRPr="005B78CD" w14:paraId="5326FFCA" w14:textId="77777777" w:rsidTr="005B78CD">
        <w:trPr>
          <w:trHeight w:val="309"/>
          <w:jc w:val="center"/>
        </w:trPr>
        <w:tc>
          <w:tcPr>
            <w:tcW w:w="5098" w:type="dxa"/>
            <w:noWrap/>
            <w:hideMark/>
          </w:tcPr>
          <w:p w14:paraId="436757AD" w14:textId="77777777" w:rsidR="005B78CD" w:rsidRPr="005B78CD" w:rsidRDefault="005B78CD" w:rsidP="005B78CD">
            <w:pPr>
              <w:spacing w:line="276" w:lineRule="auto"/>
              <w:rPr>
                <w:rFonts w:ascii="Arial" w:hAnsi="Arial" w:cs="Arial"/>
                <w:sz w:val="20"/>
              </w:rPr>
            </w:pPr>
            <w:r w:rsidRPr="005B78CD">
              <w:rPr>
                <w:rFonts w:ascii="Arial" w:hAnsi="Arial" w:cs="Arial"/>
                <w:sz w:val="20"/>
              </w:rPr>
              <w:t>Depreciation on property, plant and equipment</w:t>
            </w:r>
          </w:p>
        </w:tc>
        <w:tc>
          <w:tcPr>
            <w:tcW w:w="993" w:type="dxa"/>
            <w:noWrap/>
            <w:hideMark/>
          </w:tcPr>
          <w:p w14:paraId="6E9B5FB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2,036 </w:t>
            </w:r>
          </w:p>
        </w:tc>
        <w:tc>
          <w:tcPr>
            <w:tcW w:w="992" w:type="dxa"/>
            <w:noWrap/>
            <w:hideMark/>
          </w:tcPr>
          <w:p w14:paraId="59B4B1F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2015</w:t>
            </w:r>
          </w:p>
        </w:tc>
        <w:tc>
          <w:tcPr>
            <w:tcW w:w="992" w:type="dxa"/>
            <w:noWrap/>
            <w:hideMark/>
          </w:tcPr>
          <w:p w14:paraId="041C6EE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1,983 </w:t>
            </w:r>
          </w:p>
        </w:tc>
        <w:tc>
          <w:tcPr>
            <w:tcW w:w="992" w:type="dxa"/>
            <w:noWrap/>
            <w:hideMark/>
          </w:tcPr>
          <w:p w14:paraId="51D77EC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2012</w:t>
            </w:r>
          </w:p>
        </w:tc>
      </w:tr>
      <w:tr w:rsidR="005B78CD" w:rsidRPr="005B78CD" w14:paraId="0D6161DE" w14:textId="77777777" w:rsidTr="005B78CD">
        <w:trPr>
          <w:trHeight w:val="309"/>
          <w:jc w:val="center"/>
        </w:trPr>
        <w:tc>
          <w:tcPr>
            <w:tcW w:w="5098" w:type="dxa"/>
            <w:noWrap/>
            <w:hideMark/>
          </w:tcPr>
          <w:p w14:paraId="1A2FD961" w14:textId="77777777" w:rsidR="005B78CD" w:rsidRPr="005B78CD" w:rsidRDefault="005B78CD" w:rsidP="005B78CD">
            <w:pPr>
              <w:spacing w:line="276" w:lineRule="auto"/>
              <w:rPr>
                <w:rFonts w:ascii="Arial" w:hAnsi="Arial" w:cs="Arial"/>
                <w:sz w:val="20"/>
              </w:rPr>
            </w:pPr>
            <w:r w:rsidRPr="005B78CD">
              <w:rPr>
                <w:rFonts w:ascii="Arial" w:hAnsi="Arial" w:cs="Arial"/>
                <w:sz w:val="20"/>
              </w:rPr>
              <w:t>Amortisation of intangible assets</w:t>
            </w:r>
          </w:p>
        </w:tc>
        <w:tc>
          <w:tcPr>
            <w:tcW w:w="993" w:type="dxa"/>
            <w:noWrap/>
            <w:hideMark/>
          </w:tcPr>
          <w:p w14:paraId="38B30E6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150 </w:t>
            </w:r>
          </w:p>
        </w:tc>
        <w:tc>
          <w:tcPr>
            <w:tcW w:w="992" w:type="dxa"/>
            <w:noWrap/>
            <w:hideMark/>
          </w:tcPr>
          <w:p w14:paraId="483CF0D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180</w:t>
            </w:r>
          </w:p>
        </w:tc>
        <w:tc>
          <w:tcPr>
            <w:tcW w:w="992" w:type="dxa"/>
            <w:noWrap/>
            <w:hideMark/>
          </w:tcPr>
          <w:p w14:paraId="64F05D5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199 </w:t>
            </w:r>
          </w:p>
        </w:tc>
        <w:tc>
          <w:tcPr>
            <w:tcW w:w="992" w:type="dxa"/>
            <w:noWrap/>
            <w:hideMark/>
          </w:tcPr>
          <w:p w14:paraId="743AC34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217</w:t>
            </w:r>
          </w:p>
        </w:tc>
      </w:tr>
      <w:tr w:rsidR="005B78CD" w:rsidRPr="005B78CD" w14:paraId="7FBF9AAD" w14:textId="77777777" w:rsidTr="005B78CD">
        <w:trPr>
          <w:trHeight w:val="309"/>
          <w:jc w:val="center"/>
        </w:trPr>
        <w:tc>
          <w:tcPr>
            <w:tcW w:w="5098" w:type="dxa"/>
            <w:noWrap/>
            <w:hideMark/>
          </w:tcPr>
          <w:p w14:paraId="6BF43F9D" w14:textId="77777777" w:rsidR="005B78CD" w:rsidRPr="005B78CD" w:rsidRDefault="005B78CD" w:rsidP="005B78CD">
            <w:pPr>
              <w:spacing w:line="276" w:lineRule="auto"/>
              <w:rPr>
                <w:rFonts w:ascii="Arial" w:hAnsi="Arial" w:cs="Arial"/>
                <w:sz w:val="20"/>
              </w:rPr>
            </w:pPr>
            <w:r w:rsidRPr="005B78CD">
              <w:rPr>
                <w:rFonts w:ascii="Arial" w:hAnsi="Arial" w:cs="Arial"/>
                <w:sz w:val="20"/>
              </w:rPr>
              <w:t>Net Impairments</w:t>
            </w:r>
          </w:p>
        </w:tc>
        <w:tc>
          <w:tcPr>
            <w:tcW w:w="993" w:type="dxa"/>
            <w:noWrap/>
            <w:hideMark/>
          </w:tcPr>
          <w:p w14:paraId="14394C3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889 </w:t>
            </w:r>
          </w:p>
        </w:tc>
        <w:tc>
          <w:tcPr>
            <w:tcW w:w="992" w:type="dxa"/>
            <w:noWrap/>
            <w:hideMark/>
          </w:tcPr>
          <w:p w14:paraId="752CCBD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1308</w:t>
            </w:r>
          </w:p>
        </w:tc>
        <w:tc>
          <w:tcPr>
            <w:tcW w:w="992" w:type="dxa"/>
            <w:noWrap/>
            <w:hideMark/>
          </w:tcPr>
          <w:p w14:paraId="5294E15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606 </w:t>
            </w:r>
          </w:p>
        </w:tc>
        <w:tc>
          <w:tcPr>
            <w:tcW w:w="992" w:type="dxa"/>
            <w:noWrap/>
            <w:hideMark/>
          </w:tcPr>
          <w:p w14:paraId="3496296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1053</w:t>
            </w:r>
          </w:p>
        </w:tc>
      </w:tr>
      <w:tr w:rsidR="005B78CD" w:rsidRPr="005B78CD" w14:paraId="579573C3" w14:textId="77777777" w:rsidTr="005B78CD">
        <w:trPr>
          <w:trHeight w:val="309"/>
          <w:jc w:val="center"/>
        </w:trPr>
        <w:tc>
          <w:tcPr>
            <w:tcW w:w="5098" w:type="dxa"/>
            <w:noWrap/>
            <w:hideMark/>
          </w:tcPr>
          <w:p w14:paraId="749DD083" w14:textId="77777777" w:rsidR="005B78CD" w:rsidRPr="005B78CD" w:rsidRDefault="005B78CD" w:rsidP="005B78CD">
            <w:pPr>
              <w:spacing w:line="276" w:lineRule="auto"/>
              <w:rPr>
                <w:rFonts w:ascii="Arial" w:hAnsi="Arial" w:cs="Arial"/>
                <w:sz w:val="20"/>
              </w:rPr>
            </w:pPr>
            <w:r w:rsidRPr="005B78CD">
              <w:rPr>
                <w:rFonts w:ascii="Arial" w:hAnsi="Arial" w:cs="Arial"/>
                <w:sz w:val="20"/>
              </w:rPr>
              <w:t>Increase in provision for impairment of receivables</w:t>
            </w:r>
          </w:p>
        </w:tc>
        <w:tc>
          <w:tcPr>
            <w:tcW w:w="993" w:type="dxa"/>
            <w:noWrap/>
            <w:hideMark/>
          </w:tcPr>
          <w:p w14:paraId="6555208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119 </w:t>
            </w:r>
          </w:p>
        </w:tc>
        <w:tc>
          <w:tcPr>
            <w:tcW w:w="992" w:type="dxa"/>
            <w:noWrap/>
            <w:hideMark/>
          </w:tcPr>
          <w:p w14:paraId="0DCEE83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130</w:t>
            </w:r>
          </w:p>
        </w:tc>
        <w:tc>
          <w:tcPr>
            <w:tcW w:w="992" w:type="dxa"/>
            <w:noWrap/>
            <w:hideMark/>
          </w:tcPr>
          <w:p w14:paraId="55B0414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134 </w:t>
            </w:r>
          </w:p>
        </w:tc>
        <w:tc>
          <w:tcPr>
            <w:tcW w:w="992" w:type="dxa"/>
            <w:noWrap/>
            <w:hideMark/>
          </w:tcPr>
          <w:p w14:paraId="65C527D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99</w:t>
            </w:r>
          </w:p>
        </w:tc>
      </w:tr>
      <w:tr w:rsidR="005B78CD" w:rsidRPr="005B78CD" w14:paraId="641A3D29" w14:textId="77777777" w:rsidTr="005B78CD">
        <w:trPr>
          <w:trHeight w:val="309"/>
          <w:jc w:val="center"/>
        </w:trPr>
        <w:tc>
          <w:tcPr>
            <w:tcW w:w="5098" w:type="dxa"/>
            <w:noWrap/>
            <w:hideMark/>
          </w:tcPr>
          <w:p w14:paraId="1B86DCD4" w14:textId="77777777" w:rsidR="005B78CD" w:rsidRPr="005B78CD" w:rsidRDefault="005B78CD" w:rsidP="005B78CD">
            <w:pPr>
              <w:spacing w:line="276" w:lineRule="auto"/>
              <w:rPr>
                <w:rFonts w:ascii="Arial" w:hAnsi="Arial" w:cs="Arial"/>
                <w:sz w:val="20"/>
              </w:rPr>
            </w:pPr>
            <w:r w:rsidRPr="005B78CD">
              <w:rPr>
                <w:rFonts w:ascii="Arial" w:hAnsi="Arial" w:cs="Arial"/>
                <w:sz w:val="20"/>
              </w:rPr>
              <w:t>Increase in other provisions</w:t>
            </w:r>
          </w:p>
        </w:tc>
        <w:tc>
          <w:tcPr>
            <w:tcW w:w="993" w:type="dxa"/>
            <w:noWrap/>
            <w:hideMark/>
          </w:tcPr>
          <w:p w14:paraId="1FD2747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11 </w:t>
            </w:r>
          </w:p>
        </w:tc>
        <w:tc>
          <w:tcPr>
            <w:tcW w:w="992" w:type="dxa"/>
            <w:noWrap/>
            <w:hideMark/>
          </w:tcPr>
          <w:p w14:paraId="67CA4BE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9</w:t>
            </w:r>
          </w:p>
        </w:tc>
        <w:tc>
          <w:tcPr>
            <w:tcW w:w="992" w:type="dxa"/>
            <w:noWrap/>
            <w:hideMark/>
          </w:tcPr>
          <w:p w14:paraId="56CE948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10 </w:t>
            </w:r>
          </w:p>
        </w:tc>
        <w:tc>
          <w:tcPr>
            <w:tcW w:w="992" w:type="dxa"/>
            <w:noWrap/>
            <w:hideMark/>
          </w:tcPr>
          <w:p w14:paraId="4E245D4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40</w:t>
            </w:r>
          </w:p>
        </w:tc>
      </w:tr>
      <w:tr w:rsidR="005B78CD" w:rsidRPr="005B78CD" w14:paraId="79DB2AE5" w14:textId="77777777" w:rsidTr="005B78CD">
        <w:trPr>
          <w:trHeight w:val="309"/>
          <w:jc w:val="center"/>
        </w:trPr>
        <w:tc>
          <w:tcPr>
            <w:tcW w:w="5098" w:type="dxa"/>
            <w:noWrap/>
            <w:hideMark/>
          </w:tcPr>
          <w:p w14:paraId="5DA930B9" w14:textId="77777777" w:rsidR="005B78CD" w:rsidRPr="005B78CD" w:rsidRDefault="005B78CD" w:rsidP="005B78CD">
            <w:pPr>
              <w:spacing w:line="276" w:lineRule="auto"/>
              <w:rPr>
                <w:rFonts w:ascii="Arial" w:hAnsi="Arial" w:cs="Arial"/>
                <w:sz w:val="20"/>
              </w:rPr>
            </w:pPr>
            <w:r w:rsidRPr="005B78CD">
              <w:rPr>
                <w:rFonts w:ascii="Arial" w:hAnsi="Arial" w:cs="Arial"/>
                <w:sz w:val="20"/>
              </w:rPr>
              <w:t>Change in provisions discount rate(s)</w:t>
            </w:r>
          </w:p>
        </w:tc>
        <w:tc>
          <w:tcPr>
            <w:tcW w:w="993" w:type="dxa"/>
            <w:noWrap/>
            <w:hideMark/>
          </w:tcPr>
          <w:p w14:paraId="3EBF197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 </w:t>
            </w:r>
          </w:p>
        </w:tc>
        <w:tc>
          <w:tcPr>
            <w:tcW w:w="992" w:type="dxa"/>
            <w:noWrap/>
            <w:hideMark/>
          </w:tcPr>
          <w:p w14:paraId="44402E5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43</w:t>
            </w:r>
          </w:p>
        </w:tc>
        <w:tc>
          <w:tcPr>
            <w:tcW w:w="992" w:type="dxa"/>
            <w:noWrap/>
            <w:hideMark/>
          </w:tcPr>
          <w:p w14:paraId="6D3F7A9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 </w:t>
            </w:r>
          </w:p>
        </w:tc>
        <w:tc>
          <w:tcPr>
            <w:tcW w:w="992" w:type="dxa"/>
            <w:noWrap/>
            <w:hideMark/>
          </w:tcPr>
          <w:p w14:paraId="374F577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w:t>
            </w:r>
          </w:p>
        </w:tc>
      </w:tr>
      <w:tr w:rsidR="005B78CD" w:rsidRPr="005B78CD" w14:paraId="1D4F527D" w14:textId="77777777" w:rsidTr="005B78CD">
        <w:trPr>
          <w:trHeight w:val="309"/>
          <w:jc w:val="center"/>
        </w:trPr>
        <w:tc>
          <w:tcPr>
            <w:tcW w:w="5098" w:type="dxa"/>
            <w:noWrap/>
            <w:hideMark/>
          </w:tcPr>
          <w:p w14:paraId="68099C02" w14:textId="77777777" w:rsidR="005B78CD" w:rsidRPr="005B78CD" w:rsidRDefault="005B78CD" w:rsidP="005B78CD">
            <w:pPr>
              <w:spacing w:line="276" w:lineRule="auto"/>
              <w:rPr>
                <w:rFonts w:ascii="Arial" w:hAnsi="Arial" w:cs="Arial"/>
                <w:sz w:val="20"/>
              </w:rPr>
            </w:pPr>
            <w:r w:rsidRPr="005B78CD">
              <w:rPr>
                <w:rFonts w:ascii="Arial" w:hAnsi="Arial" w:cs="Arial"/>
                <w:sz w:val="20"/>
              </w:rPr>
              <w:t>audit services- statutory audit</w:t>
            </w:r>
          </w:p>
        </w:tc>
        <w:tc>
          <w:tcPr>
            <w:tcW w:w="993" w:type="dxa"/>
            <w:noWrap/>
            <w:hideMark/>
          </w:tcPr>
          <w:p w14:paraId="53B2ECA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18 </w:t>
            </w:r>
          </w:p>
        </w:tc>
        <w:tc>
          <w:tcPr>
            <w:tcW w:w="992" w:type="dxa"/>
            <w:noWrap/>
            <w:hideMark/>
          </w:tcPr>
          <w:p w14:paraId="122D295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18</w:t>
            </w:r>
          </w:p>
        </w:tc>
        <w:tc>
          <w:tcPr>
            <w:tcW w:w="992" w:type="dxa"/>
            <w:noWrap/>
            <w:hideMark/>
          </w:tcPr>
          <w:p w14:paraId="6997DFA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16 </w:t>
            </w:r>
          </w:p>
        </w:tc>
        <w:tc>
          <w:tcPr>
            <w:tcW w:w="992" w:type="dxa"/>
            <w:noWrap/>
            <w:hideMark/>
          </w:tcPr>
          <w:p w14:paraId="026CA70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16</w:t>
            </w:r>
          </w:p>
        </w:tc>
      </w:tr>
      <w:tr w:rsidR="005B78CD" w:rsidRPr="005B78CD" w14:paraId="58A84F78" w14:textId="77777777" w:rsidTr="005B78CD">
        <w:trPr>
          <w:trHeight w:val="309"/>
          <w:jc w:val="center"/>
        </w:trPr>
        <w:tc>
          <w:tcPr>
            <w:tcW w:w="5098" w:type="dxa"/>
            <w:noWrap/>
            <w:hideMark/>
          </w:tcPr>
          <w:p w14:paraId="071C54B1" w14:textId="77777777" w:rsidR="005B78CD" w:rsidRPr="005B78CD" w:rsidRDefault="005B78CD" w:rsidP="005B78CD">
            <w:pPr>
              <w:spacing w:line="276" w:lineRule="auto"/>
              <w:rPr>
                <w:rFonts w:ascii="Arial" w:hAnsi="Arial" w:cs="Arial"/>
                <w:sz w:val="20"/>
              </w:rPr>
            </w:pPr>
            <w:proofErr w:type="gramStart"/>
            <w:r w:rsidRPr="005B78CD">
              <w:rPr>
                <w:rFonts w:ascii="Arial" w:hAnsi="Arial" w:cs="Arial"/>
                <w:sz w:val="20"/>
              </w:rPr>
              <w:t>other</w:t>
            </w:r>
            <w:proofErr w:type="gramEnd"/>
            <w:r w:rsidRPr="005B78CD">
              <w:rPr>
                <w:rFonts w:ascii="Arial" w:hAnsi="Arial" w:cs="Arial"/>
                <w:sz w:val="20"/>
              </w:rPr>
              <w:t xml:space="preserve"> auditor remuneration (external auditor only)</w:t>
            </w:r>
          </w:p>
        </w:tc>
        <w:tc>
          <w:tcPr>
            <w:tcW w:w="993" w:type="dxa"/>
            <w:noWrap/>
            <w:hideMark/>
          </w:tcPr>
          <w:p w14:paraId="64E9B52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 </w:t>
            </w:r>
          </w:p>
        </w:tc>
        <w:tc>
          <w:tcPr>
            <w:tcW w:w="992" w:type="dxa"/>
            <w:noWrap/>
            <w:hideMark/>
          </w:tcPr>
          <w:p w14:paraId="74D7BBD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w:t>
            </w:r>
          </w:p>
        </w:tc>
        <w:tc>
          <w:tcPr>
            <w:tcW w:w="992" w:type="dxa"/>
            <w:noWrap/>
            <w:hideMark/>
          </w:tcPr>
          <w:p w14:paraId="134DE7B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 </w:t>
            </w:r>
          </w:p>
        </w:tc>
        <w:tc>
          <w:tcPr>
            <w:tcW w:w="992" w:type="dxa"/>
            <w:noWrap/>
            <w:hideMark/>
          </w:tcPr>
          <w:p w14:paraId="2EBE615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w:t>
            </w:r>
          </w:p>
        </w:tc>
      </w:tr>
      <w:tr w:rsidR="005B78CD" w:rsidRPr="005B78CD" w14:paraId="08DC649A" w14:textId="77777777" w:rsidTr="005B78CD">
        <w:trPr>
          <w:trHeight w:val="309"/>
          <w:jc w:val="center"/>
        </w:trPr>
        <w:tc>
          <w:tcPr>
            <w:tcW w:w="5098" w:type="dxa"/>
            <w:noWrap/>
            <w:hideMark/>
          </w:tcPr>
          <w:p w14:paraId="4BFD8FC6" w14:textId="77777777" w:rsidR="005B78CD" w:rsidRPr="005B78CD" w:rsidRDefault="005B78CD" w:rsidP="005B78CD">
            <w:pPr>
              <w:spacing w:line="276" w:lineRule="auto"/>
              <w:rPr>
                <w:rFonts w:ascii="Arial" w:hAnsi="Arial" w:cs="Arial"/>
                <w:sz w:val="20"/>
              </w:rPr>
            </w:pPr>
            <w:r w:rsidRPr="005B78CD">
              <w:rPr>
                <w:rFonts w:ascii="Arial" w:hAnsi="Arial" w:cs="Arial"/>
                <w:sz w:val="20"/>
              </w:rPr>
              <w:t>Internal audit costs</w:t>
            </w:r>
          </w:p>
        </w:tc>
        <w:tc>
          <w:tcPr>
            <w:tcW w:w="993" w:type="dxa"/>
            <w:noWrap/>
            <w:hideMark/>
          </w:tcPr>
          <w:p w14:paraId="59818F5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25 </w:t>
            </w:r>
          </w:p>
        </w:tc>
        <w:tc>
          <w:tcPr>
            <w:tcW w:w="992" w:type="dxa"/>
            <w:noWrap/>
            <w:hideMark/>
          </w:tcPr>
          <w:p w14:paraId="5A64284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22</w:t>
            </w:r>
          </w:p>
        </w:tc>
        <w:tc>
          <w:tcPr>
            <w:tcW w:w="992" w:type="dxa"/>
            <w:noWrap/>
            <w:hideMark/>
          </w:tcPr>
          <w:p w14:paraId="4F6B51A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20 </w:t>
            </w:r>
          </w:p>
        </w:tc>
        <w:tc>
          <w:tcPr>
            <w:tcW w:w="992" w:type="dxa"/>
            <w:noWrap/>
            <w:hideMark/>
          </w:tcPr>
          <w:p w14:paraId="6327CC7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20</w:t>
            </w:r>
          </w:p>
        </w:tc>
      </w:tr>
      <w:tr w:rsidR="005B78CD" w:rsidRPr="005B78CD" w14:paraId="17B87990" w14:textId="77777777" w:rsidTr="005B78CD">
        <w:trPr>
          <w:trHeight w:val="309"/>
          <w:jc w:val="center"/>
        </w:trPr>
        <w:tc>
          <w:tcPr>
            <w:tcW w:w="5098" w:type="dxa"/>
            <w:noWrap/>
            <w:hideMark/>
          </w:tcPr>
          <w:p w14:paraId="0A0C1A3A" w14:textId="77777777" w:rsidR="005B78CD" w:rsidRPr="005B78CD" w:rsidRDefault="005B78CD" w:rsidP="005B78CD">
            <w:pPr>
              <w:spacing w:line="276" w:lineRule="auto"/>
              <w:rPr>
                <w:rFonts w:ascii="Arial" w:hAnsi="Arial" w:cs="Arial"/>
                <w:sz w:val="20"/>
              </w:rPr>
            </w:pPr>
            <w:r w:rsidRPr="005B78CD">
              <w:rPr>
                <w:rFonts w:ascii="Arial" w:hAnsi="Arial" w:cs="Arial"/>
                <w:sz w:val="20"/>
              </w:rPr>
              <w:t>Clinical negligence</w:t>
            </w:r>
          </w:p>
        </w:tc>
        <w:tc>
          <w:tcPr>
            <w:tcW w:w="993" w:type="dxa"/>
            <w:noWrap/>
            <w:hideMark/>
          </w:tcPr>
          <w:p w14:paraId="0D56D1F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1,418 </w:t>
            </w:r>
          </w:p>
        </w:tc>
        <w:tc>
          <w:tcPr>
            <w:tcW w:w="992" w:type="dxa"/>
            <w:noWrap/>
            <w:hideMark/>
          </w:tcPr>
          <w:p w14:paraId="56C2326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1649</w:t>
            </w:r>
          </w:p>
        </w:tc>
        <w:tc>
          <w:tcPr>
            <w:tcW w:w="992" w:type="dxa"/>
            <w:noWrap/>
            <w:hideMark/>
          </w:tcPr>
          <w:p w14:paraId="7315217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1,946 </w:t>
            </w:r>
          </w:p>
        </w:tc>
        <w:tc>
          <w:tcPr>
            <w:tcW w:w="992" w:type="dxa"/>
            <w:noWrap/>
            <w:hideMark/>
          </w:tcPr>
          <w:p w14:paraId="0CB1AFF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1996</w:t>
            </w:r>
          </w:p>
        </w:tc>
      </w:tr>
      <w:tr w:rsidR="005B78CD" w:rsidRPr="005B78CD" w14:paraId="5DE0B909" w14:textId="77777777" w:rsidTr="005B78CD">
        <w:trPr>
          <w:trHeight w:val="309"/>
          <w:jc w:val="center"/>
        </w:trPr>
        <w:tc>
          <w:tcPr>
            <w:tcW w:w="5098" w:type="dxa"/>
            <w:noWrap/>
            <w:hideMark/>
          </w:tcPr>
          <w:p w14:paraId="1B1C5332" w14:textId="77777777" w:rsidR="005B78CD" w:rsidRPr="005B78CD" w:rsidRDefault="005B78CD" w:rsidP="005B78CD">
            <w:pPr>
              <w:spacing w:line="276" w:lineRule="auto"/>
              <w:rPr>
                <w:rFonts w:ascii="Arial" w:hAnsi="Arial" w:cs="Arial"/>
                <w:sz w:val="20"/>
              </w:rPr>
            </w:pPr>
            <w:r w:rsidRPr="005B78CD">
              <w:rPr>
                <w:rFonts w:ascii="Arial" w:hAnsi="Arial" w:cs="Arial"/>
                <w:sz w:val="20"/>
              </w:rPr>
              <w:t>Legal fees</w:t>
            </w:r>
          </w:p>
        </w:tc>
        <w:tc>
          <w:tcPr>
            <w:tcW w:w="993" w:type="dxa"/>
            <w:noWrap/>
            <w:hideMark/>
          </w:tcPr>
          <w:p w14:paraId="28B05C6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91 </w:t>
            </w:r>
          </w:p>
        </w:tc>
        <w:tc>
          <w:tcPr>
            <w:tcW w:w="992" w:type="dxa"/>
            <w:noWrap/>
            <w:hideMark/>
          </w:tcPr>
          <w:p w14:paraId="10D516C9"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78</w:t>
            </w:r>
          </w:p>
        </w:tc>
        <w:tc>
          <w:tcPr>
            <w:tcW w:w="992" w:type="dxa"/>
            <w:noWrap/>
            <w:hideMark/>
          </w:tcPr>
          <w:p w14:paraId="59D7E82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83 </w:t>
            </w:r>
          </w:p>
        </w:tc>
        <w:tc>
          <w:tcPr>
            <w:tcW w:w="992" w:type="dxa"/>
            <w:noWrap/>
            <w:hideMark/>
          </w:tcPr>
          <w:p w14:paraId="4AF2C0F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87</w:t>
            </w:r>
          </w:p>
        </w:tc>
      </w:tr>
      <w:tr w:rsidR="005B78CD" w:rsidRPr="005B78CD" w14:paraId="7682B468" w14:textId="77777777" w:rsidTr="005B78CD">
        <w:trPr>
          <w:trHeight w:val="309"/>
          <w:jc w:val="center"/>
        </w:trPr>
        <w:tc>
          <w:tcPr>
            <w:tcW w:w="5098" w:type="dxa"/>
            <w:noWrap/>
            <w:hideMark/>
          </w:tcPr>
          <w:p w14:paraId="11278628" w14:textId="77777777" w:rsidR="005B78CD" w:rsidRPr="005B78CD" w:rsidRDefault="005B78CD" w:rsidP="005B78CD">
            <w:pPr>
              <w:spacing w:line="276" w:lineRule="auto"/>
              <w:rPr>
                <w:rFonts w:ascii="Arial" w:hAnsi="Arial" w:cs="Arial"/>
                <w:sz w:val="20"/>
              </w:rPr>
            </w:pPr>
            <w:r w:rsidRPr="005B78CD">
              <w:rPr>
                <w:rFonts w:ascii="Arial" w:hAnsi="Arial" w:cs="Arial"/>
                <w:sz w:val="20"/>
              </w:rPr>
              <w:t>Insurance</w:t>
            </w:r>
          </w:p>
        </w:tc>
        <w:tc>
          <w:tcPr>
            <w:tcW w:w="993" w:type="dxa"/>
            <w:noWrap/>
            <w:hideMark/>
          </w:tcPr>
          <w:p w14:paraId="345277F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59 </w:t>
            </w:r>
          </w:p>
        </w:tc>
        <w:tc>
          <w:tcPr>
            <w:tcW w:w="992" w:type="dxa"/>
            <w:noWrap/>
            <w:hideMark/>
          </w:tcPr>
          <w:p w14:paraId="5AD1D50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59</w:t>
            </w:r>
          </w:p>
        </w:tc>
        <w:tc>
          <w:tcPr>
            <w:tcW w:w="992" w:type="dxa"/>
            <w:noWrap/>
            <w:hideMark/>
          </w:tcPr>
          <w:p w14:paraId="3EE5C57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56 </w:t>
            </w:r>
          </w:p>
        </w:tc>
        <w:tc>
          <w:tcPr>
            <w:tcW w:w="992" w:type="dxa"/>
            <w:noWrap/>
            <w:hideMark/>
          </w:tcPr>
          <w:p w14:paraId="0FD4EC8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60</w:t>
            </w:r>
          </w:p>
        </w:tc>
      </w:tr>
      <w:tr w:rsidR="005B78CD" w:rsidRPr="005B78CD" w14:paraId="002F825D" w14:textId="77777777" w:rsidTr="005B78CD">
        <w:trPr>
          <w:trHeight w:val="309"/>
          <w:jc w:val="center"/>
        </w:trPr>
        <w:tc>
          <w:tcPr>
            <w:tcW w:w="5098" w:type="dxa"/>
            <w:noWrap/>
            <w:hideMark/>
          </w:tcPr>
          <w:p w14:paraId="0F4FF0EC" w14:textId="77777777" w:rsidR="005B78CD" w:rsidRPr="005B78CD" w:rsidRDefault="005B78CD" w:rsidP="005B78CD">
            <w:pPr>
              <w:spacing w:line="276" w:lineRule="auto"/>
              <w:rPr>
                <w:rFonts w:ascii="Arial" w:hAnsi="Arial" w:cs="Arial"/>
                <w:sz w:val="20"/>
              </w:rPr>
            </w:pPr>
            <w:r w:rsidRPr="005B78CD">
              <w:rPr>
                <w:rFonts w:ascii="Arial" w:hAnsi="Arial" w:cs="Arial"/>
                <w:sz w:val="20"/>
              </w:rPr>
              <w:t>Research and development</w:t>
            </w:r>
          </w:p>
        </w:tc>
        <w:tc>
          <w:tcPr>
            <w:tcW w:w="993" w:type="dxa"/>
            <w:noWrap/>
            <w:hideMark/>
          </w:tcPr>
          <w:p w14:paraId="08DA3A0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371 </w:t>
            </w:r>
          </w:p>
        </w:tc>
        <w:tc>
          <w:tcPr>
            <w:tcW w:w="992" w:type="dxa"/>
            <w:noWrap/>
            <w:hideMark/>
          </w:tcPr>
          <w:p w14:paraId="36F092B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438</w:t>
            </w:r>
          </w:p>
        </w:tc>
        <w:tc>
          <w:tcPr>
            <w:tcW w:w="992" w:type="dxa"/>
            <w:noWrap/>
            <w:hideMark/>
          </w:tcPr>
          <w:p w14:paraId="4638E8C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491 </w:t>
            </w:r>
          </w:p>
        </w:tc>
        <w:tc>
          <w:tcPr>
            <w:tcW w:w="992" w:type="dxa"/>
            <w:noWrap/>
            <w:hideMark/>
          </w:tcPr>
          <w:p w14:paraId="10469E3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611</w:t>
            </w:r>
          </w:p>
        </w:tc>
      </w:tr>
      <w:tr w:rsidR="005B78CD" w:rsidRPr="005B78CD" w14:paraId="42191254" w14:textId="77777777" w:rsidTr="005B78CD">
        <w:trPr>
          <w:trHeight w:val="309"/>
          <w:jc w:val="center"/>
        </w:trPr>
        <w:tc>
          <w:tcPr>
            <w:tcW w:w="5098" w:type="dxa"/>
            <w:noWrap/>
            <w:hideMark/>
          </w:tcPr>
          <w:p w14:paraId="39A8E4FB" w14:textId="77777777" w:rsidR="005B78CD" w:rsidRPr="005B78CD" w:rsidRDefault="005B78CD" w:rsidP="005B78CD">
            <w:pPr>
              <w:spacing w:line="276" w:lineRule="auto"/>
              <w:rPr>
                <w:rFonts w:ascii="Arial" w:hAnsi="Arial" w:cs="Arial"/>
                <w:sz w:val="20"/>
              </w:rPr>
            </w:pPr>
            <w:r w:rsidRPr="005B78CD">
              <w:rPr>
                <w:rFonts w:ascii="Arial" w:hAnsi="Arial" w:cs="Arial"/>
                <w:sz w:val="20"/>
              </w:rPr>
              <w:t>Education and training</w:t>
            </w:r>
          </w:p>
        </w:tc>
        <w:tc>
          <w:tcPr>
            <w:tcW w:w="993" w:type="dxa"/>
            <w:noWrap/>
            <w:hideMark/>
          </w:tcPr>
          <w:p w14:paraId="1F6537B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259 </w:t>
            </w:r>
          </w:p>
        </w:tc>
        <w:tc>
          <w:tcPr>
            <w:tcW w:w="992" w:type="dxa"/>
            <w:noWrap/>
            <w:hideMark/>
          </w:tcPr>
          <w:p w14:paraId="0916669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331</w:t>
            </w:r>
          </w:p>
        </w:tc>
        <w:tc>
          <w:tcPr>
            <w:tcW w:w="992" w:type="dxa"/>
            <w:noWrap/>
            <w:hideMark/>
          </w:tcPr>
          <w:p w14:paraId="3B6B11F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390 </w:t>
            </w:r>
          </w:p>
        </w:tc>
        <w:tc>
          <w:tcPr>
            <w:tcW w:w="992" w:type="dxa"/>
            <w:noWrap/>
            <w:hideMark/>
          </w:tcPr>
          <w:p w14:paraId="159CF96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454</w:t>
            </w:r>
          </w:p>
        </w:tc>
      </w:tr>
      <w:tr w:rsidR="005B78CD" w:rsidRPr="005B78CD" w14:paraId="1C0F69FF" w14:textId="77777777" w:rsidTr="005B78CD">
        <w:trPr>
          <w:trHeight w:val="309"/>
          <w:jc w:val="center"/>
        </w:trPr>
        <w:tc>
          <w:tcPr>
            <w:tcW w:w="5098" w:type="dxa"/>
            <w:noWrap/>
            <w:hideMark/>
          </w:tcPr>
          <w:p w14:paraId="56E0EA8B" w14:textId="77777777" w:rsidR="005B78CD" w:rsidRPr="005B78CD" w:rsidRDefault="005B78CD" w:rsidP="005B78CD">
            <w:pPr>
              <w:spacing w:line="276" w:lineRule="auto"/>
              <w:rPr>
                <w:rFonts w:ascii="Arial" w:hAnsi="Arial" w:cs="Arial"/>
                <w:sz w:val="20"/>
              </w:rPr>
            </w:pPr>
            <w:r w:rsidRPr="005B78CD">
              <w:rPr>
                <w:rFonts w:ascii="Arial" w:hAnsi="Arial" w:cs="Arial"/>
                <w:sz w:val="20"/>
              </w:rPr>
              <w:t>Rentals under operating leases</w:t>
            </w:r>
          </w:p>
        </w:tc>
        <w:tc>
          <w:tcPr>
            <w:tcW w:w="993" w:type="dxa"/>
            <w:noWrap/>
            <w:hideMark/>
          </w:tcPr>
          <w:p w14:paraId="0D92C20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404 </w:t>
            </w:r>
          </w:p>
        </w:tc>
        <w:tc>
          <w:tcPr>
            <w:tcW w:w="992" w:type="dxa"/>
            <w:noWrap/>
            <w:hideMark/>
          </w:tcPr>
          <w:p w14:paraId="522A066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666</w:t>
            </w:r>
          </w:p>
        </w:tc>
        <w:tc>
          <w:tcPr>
            <w:tcW w:w="992" w:type="dxa"/>
            <w:noWrap/>
            <w:hideMark/>
          </w:tcPr>
          <w:p w14:paraId="31441C9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672 </w:t>
            </w:r>
          </w:p>
        </w:tc>
        <w:tc>
          <w:tcPr>
            <w:tcW w:w="992" w:type="dxa"/>
            <w:noWrap/>
            <w:hideMark/>
          </w:tcPr>
          <w:p w14:paraId="1D09CD2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715</w:t>
            </w:r>
          </w:p>
        </w:tc>
      </w:tr>
      <w:tr w:rsidR="005B78CD" w:rsidRPr="005B78CD" w14:paraId="7B954D8E" w14:textId="77777777" w:rsidTr="005B78CD">
        <w:trPr>
          <w:trHeight w:val="309"/>
          <w:jc w:val="center"/>
        </w:trPr>
        <w:tc>
          <w:tcPr>
            <w:tcW w:w="5098" w:type="dxa"/>
            <w:noWrap/>
            <w:hideMark/>
          </w:tcPr>
          <w:p w14:paraId="16620A8B" w14:textId="77777777" w:rsidR="005B78CD" w:rsidRPr="005B78CD" w:rsidRDefault="005B78CD" w:rsidP="005B78CD">
            <w:pPr>
              <w:spacing w:line="276" w:lineRule="auto"/>
              <w:rPr>
                <w:rFonts w:ascii="Arial" w:hAnsi="Arial" w:cs="Arial"/>
                <w:sz w:val="20"/>
              </w:rPr>
            </w:pPr>
            <w:r w:rsidRPr="005B78CD">
              <w:rPr>
                <w:rFonts w:ascii="Arial" w:hAnsi="Arial" w:cs="Arial"/>
                <w:sz w:val="20"/>
              </w:rPr>
              <w:t>Early retirements</w:t>
            </w:r>
          </w:p>
        </w:tc>
        <w:tc>
          <w:tcPr>
            <w:tcW w:w="993" w:type="dxa"/>
            <w:noWrap/>
            <w:hideMark/>
          </w:tcPr>
          <w:p w14:paraId="4A3B4518"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4 </w:t>
            </w:r>
          </w:p>
        </w:tc>
        <w:tc>
          <w:tcPr>
            <w:tcW w:w="992" w:type="dxa"/>
            <w:noWrap/>
            <w:hideMark/>
          </w:tcPr>
          <w:p w14:paraId="5ED6985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w:t>
            </w:r>
          </w:p>
        </w:tc>
        <w:tc>
          <w:tcPr>
            <w:tcW w:w="992" w:type="dxa"/>
            <w:noWrap/>
            <w:hideMark/>
          </w:tcPr>
          <w:p w14:paraId="699E12C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 </w:t>
            </w:r>
          </w:p>
        </w:tc>
        <w:tc>
          <w:tcPr>
            <w:tcW w:w="992" w:type="dxa"/>
            <w:noWrap/>
            <w:hideMark/>
          </w:tcPr>
          <w:p w14:paraId="7043FED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w:t>
            </w:r>
          </w:p>
        </w:tc>
      </w:tr>
      <w:tr w:rsidR="005B78CD" w:rsidRPr="005B78CD" w14:paraId="2039D377" w14:textId="77777777" w:rsidTr="005B78CD">
        <w:trPr>
          <w:trHeight w:val="309"/>
          <w:jc w:val="center"/>
        </w:trPr>
        <w:tc>
          <w:tcPr>
            <w:tcW w:w="5098" w:type="dxa"/>
            <w:noWrap/>
            <w:hideMark/>
          </w:tcPr>
          <w:p w14:paraId="29CD48BB"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Redundancy </w:t>
            </w:r>
          </w:p>
        </w:tc>
        <w:tc>
          <w:tcPr>
            <w:tcW w:w="993" w:type="dxa"/>
            <w:noWrap/>
            <w:hideMark/>
          </w:tcPr>
          <w:p w14:paraId="436C096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57 </w:t>
            </w:r>
          </w:p>
        </w:tc>
        <w:tc>
          <w:tcPr>
            <w:tcW w:w="992" w:type="dxa"/>
            <w:noWrap/>
            <w:hideMark/>
          </w:tcPr>
          <w:p w14:paraId="22B245C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60</w:t>
            </w:r>
          </w:p>
        </w:tc>
        <w:tc>
          <w:tcPr>
            <w:tcW w:w="992" w:type="dxa"/>
            <w:noWrap/>
            <w:hideMark/>
          </w:tcPr>
          <w:p w14:paraId="2C2AEEE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53 </w:t>
            </w:r>
          </w:p>
        </w:tc>
        <w:tc>
          <w:tcPr>
            <w:tcW w:w="992" w:type="dxa"/>
            <w:noWrap/>
            <w:hideMark/>
          </w:tcPr>
          <w:p w14:paraId="061CF6E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32</w:t>
            </w:r>
          </w:p>
        </w:tc>
      </w:tr>
      <w:tr w:rsidR="005B78CD" w:rsidRPr="005B78CD" w14:paraId="71D9E6F6" w14:textId="77777777" w:rsidTr="005B78CD">
        <w:trPr>
          <w:trHeight w:val="309"/>
          <w:jc w:val="center"/>
        </w:trPr>
        <w:tc>
          <w:tcPr>
            <w:tcW w:w="5098" w:type="dxa"/>
            <w:hideMark/>
          </w:tcPr>
          <w:p w14:paraId="65724F40" w14:textId="77777777" w:rsidR="005B78CD" w:rsidRPr="005B78CD" w:rsidRDefault="005B78CD" w:rsidP="005B78CD">
            <w:pPr>
              <w:spacing w:line="276" w:lineRule="auto"/>
              <w:rPr>
                <w:rFonts w:ascii="Arial" w:hAnsi="Arial" w:cs="Arial"/>
                <w:sz w:val="20"/>
              </w:rPr>
            </w:pPr>
            <w:r w:rsidRPr="005B78CD">
              <w:rPr>
                <w:rFonts w:ascii="Arial" w:hAnsi="Arial" w:cs="Arial"/>
                <w:sz w:val="20"/>
              </w:rPr>
              <w:t>Charges to operating expenditure for on-</w:t>
            </w:r>
            <w:proofErr w:type="spellStart"/>
            <w:r w:rsidRPr="005B78CD">
              <w:rPr>
                <w:rFonts w:ascii="Arial" w:hAnsi="Arial" w:cs="Arial"/>
                <w:sz w:val="20"/>
              </w:rPr>
              <w:t>SoFP</w:t>
            </w:r>
            <w:proofErr w:type="spellEnd"/>
          </w:p>
        </w:tc>
        <w:tc>
          <w:tcPr>
            <w:tcW w:w="993" w:type="dxa"/>
            <w:noWrap/>
            <w:hideMark/>
          </w:tcPr>
          <w:p w14:paraId="6D572DF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888 </w:t>
            </w:r>
          </w:p>
        </w:tc>
        <w:tc>
          <w:tcPr>
            <w:tcW w:w="992" w:type="dxa"/>
            <w:noWrap/>
            <w:hideMark/>
          </w:tcPr>
          <w:p w14:paraId="448BC6F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902</w:t>
            </w:r>
          </w:p>
        </w:tc>
        <w:tc>
          <w:tcPr>
            <w:tcW w:w="992" w:type="dxa"/>
            <w:noWrap/>
            <w:hideMark/>
          </w:tcPr>
          <w:p w14:paraId="415C77A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914 </w:t>
            </w:r>
          </w:p>
        </w:tc>
        <w:tc>
          <w:tcPr>
            <w:tcW w:w="992" w:type="dxa"/>
            <w:noWrap/>
            <w:hideMark/>
          </w:tcPr>
          <w:p w14:paraId="1367028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948</w:t>
            </w:r>
          </w:p>
        </w:tc>
      </w:tr>
      <w:tr w:rsidR="005B78CD" w:rsidRPr="005B78CD" w14:paraId="327E9DAD" w14:textId="77777777" w:rsidTr="005B78CD">
        <w:trPr>
          <w:trHeight w:val="309"/>
          <w:jc w:val="center"/>
        </w:trPr>
        <w:tc>
          <w:tcPr>
            <w:tcW w:w="5098" w:type="dxa"/>
            <w:noWrap/>
            <w:hideMark/>
          </w:tcPr>
          <w:p w14:paraId="4F7E625A" w14:textId="77777777" w:rsidR="005B78CD" w:rsidRPr="005B78CD" w:rsidRDefault="005B78CD" w:rsidP="005B78CD">
            <w:pPr>
              <w:spacing w:line="276" w:lineRule="auto"/>
              <w:rPr>
                <w:rFonts w:ascii="Arial" w:hAnsi="Arial" w:cs="Arial"/>
                <w:sz w:val="20"/>
              </w:rPr>
            </w:pPr>
            <w:r w:rsidRPr="005B78CD">
              <w:rPr>
                <w:rFonts w:ascii="Arial" w:hAnsi="Arial" w:cs="Arial"/>
                <w:sz w:val="20"/>
              </w:rPr>
              <w:t>Charges to operating expenditure for off-</w:t>
            </w:r>
            <w:proofErr w:type="spellStart"/>
            <w:r w:rsidRPr="005B78CD">
              <w:rPr>
                <w:rFonts w:ascii="Arial" w:hAnsi="Arial" w:cs="Arial"/>
                <w:sz w:val="20"/>
              </w:rPr>
              <w:t>SoFP</w:t>
            </w:r>
            <w:proofErr w:type="spellEnd"/>
          </w:p>
        </w:tc>
        <w:tc>
          <w:tcPr>
            <w:tcW w:w="993" w:type="dxa"/>
            <w:noWrap/>
            <w:hideMark/>
          </w:tcPr>
          <w:p w14:paraId="3E90019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5 </w:t>
            </w:r>
          </w:p>
        </w:tc>
        <w:tc>
          <w:tcPr>
            <w:tcW w:w="992" w:type="dxa"/>
            <w:noWrap/>
            <w:hideMark/>
          </w:tcPr>
          <w:p w14:paraId="359AEBF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5</w:t>
            </w:r>
          </w:p>
        </w:tc>
        <w:tc>
          <w:tcPr>
            <w:tcW w:w="992" w:type="dxa"/>
            <w:noWrap/>
            <w:hideMark/>
          </w:tcPr>
          <w:p w14:paraId="135ADC8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6 </w:t>
            </w:r>
          </w:p>
        </w:tc>
        <w:tc>
          <w:tcPr>
            <w:tcW w:w="992" w:type="dxa"/>
            <w:noWrap/>
            <w:hideMark/>
          </w:tcPr>
          <w:p w14:paraId="1FCA6482"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5</w:t>
            </w:r>
          </w:p>
        </w:tc>
      </w:tr>
      <w:tr w:rsidR="005B78CD" w:rsidRPr="005B78CD" w14:paraId="5115234C" w14:textId="77777777" w:rsidTr="005B78CD">
        <w:trPr>
          <w:trHeight w:val="309"/>
          <w:jc w:val="center"/>
        </w:trPr>
        <w:tc>
          <w:tcPr>
            <w:tcW w:w="5098" w:type="dxa"/>
            <w:noWrap/>
            <w:hideMark/>
          </w:tcPr>
          <w:p w14:paraId="3E73D681" w14:textId="77777777" w:rsidR="005B78CD" w:rsidRPr="005B78CD" w:rsidRDefault="005B78CD" w:rsidP="005B78CD">
            <w:pPr>
              <w:spacing w:line="276" w:lineRule="auto"/>
              <w:rPr>
                <w:rFonts w:ascii="Arial" w:hAnsi="Arial" w:cs="Arial"/>
                <w:sz w:val="20"/>
              </w:rPr>
            </w:pPr>
            <w:r w:rsidRPr="005B78CD">
              <w:rPr>
                <w:rFonts w:ascii="Arial" w:hAnsi="Arial" w:cs="Arial"/>
                <w:sz w:val="20"/>
              </w:rPr>
              <w:t>Car parking &amp; security</w:t>
            </w:r>
          </w:p>
        </w:tc>
        <w:tc>
          <w:tcPr>
            <w:tcW w:w="993" w:type="dxa"/>
            <w:noWrap/>
            <w:hideMark/>
          </w:tcPr>
          <w:p w14:paraId="7CF8F8D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21 </w:t>
            </w:r>
          </w:p>
        </w:tc>
        <w:tc>
          <w:tcPr>
            <w:tcW w:w="992" w:type="dxa"/>
            <w:noWrap/>
            <w:hideMark/>
          </w:tcPr>
          <w:p w14:paraId="766F321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37</w:t>
            </w:r>
          </w:p>
        </w:tc>
        <w:tc>
          <w:tcPr>
            <w:tcW w:w="992" w:type="dxa"/>
            <w:noWrap/>
            <w:hideMark/>
          </w:tcPr>
          <w:p w14:paraId="22E24C7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39 </w:t>
            </w:r>
          </w:p>
        </w:tc>
        <w:tc>
          <w:tcPr>
            <w:tcW w:w="992" w:type="dxa"/>
            <w:noWrap/>
            <w:hideMark/>
          </w:tcPr>
          <w:p w14:paraId="5E9D3C0A"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43</w:t>
            </w:r>
          </w:p>
        </w:tc>
      </w:tr>
      <w:tr w:rsidR="005B78CD" w:rsidRPr="005B78CD" w14:paraId="261FA67A" w14:textId="77777777" w:rsidTr="005B78CD">
        <w:trPr>
          <w:trHeight w:val="309"/>
          <w:jc w:val="center"/>
        </w:trPr>
        <w:tc>
          <w:tcPr>
            <w:tcW w:w="5098" w:type="dxa"/>
            <w:noWrap/>
            <w:hideMark/>
          </w:tcPr>
          <w:p w14:paraId="32F80861"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Hospitality </w:t>
            </w:r>
          </w:p>
        </w:tc>
        <w:tc>
          <w:tcPr>
            <w:tcW w:w="993" w:type="dxa"/>
            <w:noWrap/>
            <w:hideMark/>
          </w:tcPr>
          <w:p w14:paraId="70664F0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7 </w:t>
            </w:r>
          </w:p>
        </w:tc>
        <w:tc>
          <w:tcPr>
            <w:tcW w:w="992" w:type="dxa"/>
            <w:noWrap/>
            <w:hideMark/>
          </w:tcPr>
          <w:p w14:paraId="1FF3691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w:t>
            </w:r>
          </w:p>
        </w:tc>
        <w:tc>
          <w:tcPr>
            <w:tcW w:w="992" w:type="dxa"/>
            <w:noWrap/>
            <w:hideMark/>
          </w:tcPr>
          <w:p w14:paraId="58132FD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8 </w:t>
            </w:r>
          </w:p>
        </w:tc>
        <w:tc>
          <w:tcPr>
            <w:tcW w:w="992" w:type="dxa"/>
            <w:noWrap/>
            <w:hideMark/>
          </w:tcPr>
          <w:p w14:paraId="731FCD9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w:t>
            </w:r>
          </w:p>
        </w:tc>
      </w:tr>
      <w:tr w:rsidR="005B78CD" w:rsidRPr="005B78CD" w14:paraId="6E20A824" w14:textId="77777777" w:rsidTr="005B78CD">
        <w:trPr>
          <w:trHeight w:val="309"/>
          <w:jc w:val="center"/>
        </w:trPr>
        <w:tc>
          <w:tcPr>
            <w:tcW w:w="5098" w:type="dxa"/>
            <w:noWrap/>
            <w:hideMark/>
          </w:tcPr>
          <w:p w14:paraId="274250D7" w14:textId="77777777" w:rsidR="005B78CD" w:rsidRPr="005B78CD" w:rsidRDefault="005B78CD" w:rsidP="005B78CD">
            <w:pPr>
              <w:spacing w:line="276" w:lineRule="auto"/>
              <w:rPr>
                <w:rFonts w:ascii="Arial" w:hAnsi="Arial" w:cs="Arial"/>
                <w:sz w:val="20"/>
              </w:rPr>
            </w:pPr>
            <w:r w:rsidRPr="005B78CD">
              <w:rPr>
                <w:rFonts w:ascii="Arial" w:hAnsi="Arial" w:cs="Arial"/>
                <w:sz w:val="20"/>
              </w:rPr>
              <w:t>Losses, ex gratia &amp; special payments</w:t>
            </w:r>
          </w:p>
        </w:tc>
        <w:tc>
          <w:tcPr>
            <w:tcW w:w="993" w:type="dxa"/>
            <w:noWrap/>
            <w:hideMark/>
          </w:tcPr>
          <w:p w14:paraId="36241CA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11 </w:t>
            </w:r>
          </w:p>
        </w:tc>
        <w:tc>
          <w:tcPr>
            <w:tcW w:w="992" w:type="dxa"/>
            <w:noWrap/>
            <w:hideMark/>
          </w:tcPr>
          <w:p w14:paraId="226AFBC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15</w:t>
            </w:r>
          </w:p>
        </w:tc>
        <w:tc>
          <w:tcPr>
            <w:tcW w:w="992" w:type="dxa"/>
            <w:noWrap/>
            <w:hideMark/>
          </w:tcPr>
          <w:p w14:paraId="7D497FA4"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17 </w:t>
            </w:r>
          </w:p>
        </w:tc>
        <w:tc>
          <w:tcPr>
            <w:tcW w:w="992" w:type="dxa"/>
            <w:noWrap/>
            <w:hideMark/>
          </w:tcPr>
          <w:p w14:paraId="07B2B6EF"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18</w:t>
            </w:r>
          </w:p>
        </w:tc>
      </w:tr>
      <w:tr w:rsidR="005B78CD" w:rsidRPr="005B78CD" w14:paraId="22814E05" w14:textId="77777777" w:rsidTr="005B78CD">
        <w:trPr>
          <w:trHeight w:val="309"/>
          <w:jc w:val="center"/>
        </w:trPr>
        <w:tc>
          <w:tcPr>
            <w:tcW w:w="5098" w:type="dxa"/>
            <w:noWrap/>
            <w:hideMark/>
          </w:tcPr>
          <w:p w14:paraId="75DF6B8E" w14:textId="77777777" w:rsidR="005B78CD" w:rsidRPr="005B78CD" w:rsidRDefault="005B78CD" w:rsidP="005B78CD">
            <w:pPr>
              <w:spacing w:line="276" w:lineRule="auto"/>
              <w:rPr>
                <w:rFonts w:ascii="Arial" w:hAnsi="Arial" w:cs="Arial"/>
                <w:sz w:val="20"/>
              </w:rPr>
            </w:pPr>
            <w:r w:rsidRPr="005B78CD">
              <w:rPr>
                <w:rFonts w:ascii="Arial" w:hAnsi="Arial" w:cs="Arial"/>
                <w:sz w:val="20"/>
              </w:rPr>
              <w:t>Grossing up consortium arrangements</w:t>
            </w:r>
          </w:p>
        </w:tc>
        <w:tc>
          <w:tcPr>
            <w:tcW w:w="993" w:type="dxa"/>
            <w:noWrap/>
            <w:hideMark/>
          </w:tcPr>
          <w:p w14:paraId="172E17C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12 </w:t>
            </w:r>
          </w:p>
        </w:tc>
        <w:tc>
          <w:tcPr>
            <w:tcW w:w="992" w:type="dxa"/>
            <w:noWrap/>
            <w:hideMark/>
          </w:tcPr>
          <w:p w14:paraId="5E53FEFE"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w:t>
            </w:r>
          </w:p>
        </w:tc>
        <w:tc>
          <w:tcPr>
            <w:tcW w:w="992" w:type="dxa"/>
            <w:noWrap/>
            <w:hideMark/>
          </w:tcPr>
          <w:p w14:paraId="576A493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7 </w:t>
            </w:r>
          </w:p>
        </w:tc>
        <w:tc>
          <w:tcPr>
            <w:tcW w:w="992" w:type="dxa"/>
            <w:noWrap/>
            <w:hideMark/>
          </w:tcPr>
          <w:p w14:paraId="23878EE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11</w:t>
            </w:r>
          </w:p>
        </w:tc>
      </w:tr>
      <w:tr w:rsidR="005B78CD" w:rsidRPr="005B78CD" w14:paraId="1F1134F0" w14:textId="77777777" w:rsidTr="005B78CD">
        <w:trPr>
          <w:trHeight w:val="309"/>
          <w:jc w:val="center"/>
        </w:trPr>
        <w:tc>
          <w:tcPr>
            <w:tcW w:w="5098" w:type="dxa"/>
            <w:noWrap/>
            <w:hideMark/>
          </w:tcPr>
          <w:p w14:paraId="559AC818" w14:textId="77777777" w:rsidR="005B78CD" w:rsidRPr="005B78CD" w:rsidRDefault="005B78CD" w:rsidP="005B78CD">
            <w:pPr>
              <w:spacing w:line="276" w:lineRule="auto"/>
              <w:rPr>
                <w:rFonts w:ascii="Arial" w:hAnsi="Arial" w:cs="Arial"/>
                <w:sz w:val="20"/>
              </w:rPr>
            </w:pPr>
            <w:r w:rsidRPr="005B78CD">
              <w:rPr>
                <w:rFonts w:ascii="Arial" w:hAnsi="Arial" w:cs="Arial"/>
                <w:sz w:val="20"/>
              </w:rPr>
              <w:t xml:space="preserve">Other services, </w:t>
            </w:r>
            <w:proofErr w:type="spellStart"/>
            <w:r w:rsidRPr="005B78CD">
              <w:rPr>
                <w:rFonts w:ascii="Arial" w:hAnsi="Arial" w:cs="Arial"/>
                <w:sz w:val="20"/>
              </w:rPr>
              <w:t>eg</w:t>
            </w:r>
            <w:proofErr w:type="spellEnd"/>
            <w:r w:rsidRPr="005B78CD">
              <w:rPr>
                <w:rFonts w:ascii="Arial" w:hAnsi="Arial" w:cs="Arial"/>
                <w:sz w:val="20"/>
              </w:rPr>
              <w:t xml:space="preserve"> external payroll</w:t>
            </w:r>
          </w:p>
        </w:tc>
        <w:tc>
          <w:tcPr>
            <w:tcW w:w="993" w:type="dxa"/>
            <w:noWrap/>
            <w:hideMark/>
          </w:tcPr>
          <w:p w14:paraId="2DFB15FD"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97 </w:t>
            </w:r>
          </w:p>
        </w:tc>
        <w:tc>
          <w:tcPr>
            <w:tcW w:w="992" w:type="dxa"/>
            <w:noWrap/>
            <w:hideMark/>
          </w:tcPr>
          <w:p w14:paraId="1487598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82</w:t>
            </w:r>
          </w:p>
        </w:tc>
        <w:tc>
          <w:tcPr>
            <w:tcW w:w="992" w:type="dxa"/>
            <w:noWrap/>
            <w:hideMark/>
          </w:tcPr>
          <w:p w14:paraId="2781BED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78 </w:t>
            </w:r>
          </w:p>
        </w:tc>
        <w:tc>
          <w:tcPr>
            <w:tcW w:w="992" w:type="dxa"/>
            <w:noWrap/>
            <w:hideMark/>
          </w:tcPr>
          <w:p w14:paraId="37825C06"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71</w:t>
            </w:r>
          </w:p>
        </w:tc>
      </w:tr>
      <w:tr w:rsidR="005B78CD" w:rsidRPr="005B78CD" w14:paraId="3982B731" w14:textId="77777777" w:rsidTr="005B78CD">
        <w:trPr>
          <w:trHeight w:val="309"/>
          <w:jc w:val="center"/>
        </w:trPr>
        <w:tc>
          <w:tcPr>
            <w:tcW w:w="5098" w:type="dxa"/>
            <w:noWrap/>
            <w:hideMark/>
          </w:tcPr>
          <w:p w14:paraId="72289E19" w14:textId="77777777" w:rsidR="005B78CD" w:rsidRPr="005B78CD" w:rsidRDefault="005B78CD" w:rsidP="005B78CD">
            <w:pPr>
              <w:spacing w:line="276" w:lineRule="auto"/>
              <w:rPr>
                <w:rFonts w:ascii="Arial" w:hAnsi="Arial" w:cs="Arial"/>
                <w:sz w:val="20"/>
              </w:rPr>
            </w:pPr>
            <w:r w:rsidRPr="005B78CD">
              <w:rPr>
                <w:rFonts w:ascii="Arial" w:hAnsi="Arial" w:cs="Arial"/>
                <w:sz w:val="20"/>
              </w:rPr>
              <w:lastRenderedPageBreak/>
              <w:t xml:space="preserve">Other </w:t>
            </w:r>
          </w:p>
        </w:tc>
        <w:tc>
          <w:tcPr>
            <w:tcW w:w="993" w:type="dxa"/>
            <w:noWrap/>
            <w:hideMark/>
          </w:tcPr>
          <w:p w14:paraId="1B4606CB"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482 </w:t>
            </w:r>
          </w:p>
        </w:tc>
        <w:tc>
          <w:tcPr>
            <w:tcW w:w="992" w:type="dxa"/>
            <w:noWrap/>
            <w:hideMark/>
          </w:tcPr>
          <w:p w14:paraId="687F47D3"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319</w:t>
            </w:r>
          </w:p>
        </w:tc>
        <w:tc>
          <w:tcPr>
            <w:tcW w:w="992" w:type="dxa"/>
            <w:noWrap/>
            <w:hideMark/>
          </w:tcPr>
          <w:p w14:paraId="75F35EB0"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313 </w:t>
            </w:r>
          </w:p>
        </w:tc>
        <w:tc>
          <w:tcPr>
            <w:tcW w:w="992" w:type="dxa"/>
            <w:noWrap/>
            <w:hideMark/>
          </w:tcPr>
          <w:p w14:paraId="14847B81"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443</w:t>
            </w:r>
          </w:p>
        </w:tc>
      </w:tr>
      <w:tr w:rsidR="005B78CD" w:rsidRPr="005B78CD" w14:paraId="1C971F6F" w14:textId="77777777" w:rsidTr="005B78CD">
        <w:trPr>
          <w:trHeight w:val="309"/>
          <w:jc w:val="center"/>
        </w:trPr>
        <w:tc>
          <w:tcPr>
            <w:tcW w:w="5098" w:type="dxa"/>
            <w:noWrap/>
            <w:hideMark/>
          </w:tcPr>
          <w:p w14:paraId="66BA9689" w14:textId="77777777" w:rsidR="005B78CD" w:rsidRPr="005B78CD" w:rsidRDefault="005B78CD" w:rsidP="005B78CD">
            <w:pPr>
              <w:spacing w:line="276" w:lineRule="auto"/>
              <w:rPr>
                <w:rFonts w:ascii="Arial" w:hAnsi="Arial" w:cs="Arial"/>
                <w:sz w:val="20"/>
              </w:rPr>
            </w:pPr>
            <w:r w:rsidRPr="005B78CD">
              <w:rPr>
                <w:rFonts w:ascii="Arial" w:hAnsi="Arial" w:cs="Arial"/>
                <w:sz w:val="20"/>
              </w:rPr>
              <w:t>NHS charitable funds: Other resources expended</w:t>
            </w:r>
          </w:p>
        </w:tc>
        <w:tc>
          <w:tcPr>
            <w:tcW w:w="993" w:type="dxa"/>
            <w:noWrap/>
            <w:hideMark/>
          </w:tcPr>
          <w:p w14:paraId="1F2DE767"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33 </w:t>
            </w:r>
          </w:p>
        </w:tc>
        <w:tc>
          <w:tcPr>
            <w:tcW w:w="992" w:type="dxa"/>
            <w:noWrap/>
            <w:hideMark/>
          </w:tcPr>
          <w:p w14:paraId="3F1327E5"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38</w:t>
            </w:r>
          </w:p>
        </w:tc>
        <w:tc>
          <w:tcPr>
            <w:tcW w:w="992" w:type="dxa"/>
            <w:noWrap/>
            <w:hideMark/>
          </w:tcPr>
          <w:p w14:paraId="5CEE4EF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 xml:space="preserve">         36 </w:t>
            </w:r>
          </w:p>
        </w:tc>
        <w:tc>
          <w:tcPr>
            <w:tcW w:w="992" w:type="dxa"/>
            <w:noWrap/>
            <w:hideMark/>
          </w:tcPr>
          <w:p w14:paraId="3D590EBC" w14:textId="77777777" w:rsidR="005B78CD" w:rsidRPr="005B78CD" w:rsidRDefault="005B78CD" w:rsidP="005B78CD">
            <w:pPr>
              <w:spacing w:line="276" w:lineRule="auto"/>
              <w:jc w:val="right"/>
              <w:rPr>
                <w:rFonts w:ascii="Arial" w:hAnsi="Arial" w:cs="Arial"/>
                <w:sz w:val="20"/>
              </w:rPr>
            </w:pPr>
            <w:r w:rsidRPr="005B78CD">
              <w:rPr>
                <w:rFonts w:ascii="Arial" w:hAnsi="Arial" w:cs="Arial"/>
                <w:sz w:val="20"/>
              </w:rPr>
              <w:t>36</w:t>
            </w:r>
          </w:p>
        </w:tc>
      </w:tr>
    </w:tbl>
    <w:p w14:paraId="016B08DB" w14:textId="1BC011E1" w:rsidR="00C761DC" w:rsidRPr="00BD6196" w:rsidRDefault="00CD1EFF" w:rsidP="00BD6196">
      <w:pPr>
        <w:spacing w:line="276" w:lineRule="auto"/>
        <w:rPr>
          <w:rFonts w:ascii="Arial" w:hAnsi="Arial" w:cs="Arial"/>
          <w:sz w:val="20"/>
        </w:rPr>
      </w:pPr>
      <w:r w:rsidRPr="00BD6196">
        <w:rPr>
          <w:rFonts w:ascii="Arial" w:hAnsi="Arial" w:cs="Arial"/>
          <w:sz w:val="20"/>
        </w:rPr>
        <w:t xml:space="preserve">Note: FT and non-FT accounts were reported separately before 2016/17 and had to be mapped for 2015/16. Source: </w:t>
      </w:r>
      <w:hyperlink r:id="rId13" w:history="1">
        <w:r w:rsidRPr="00BD6196">
          <w:rPr>
            <w:rStyle w:val="Hyperlink"/>
            <w:rFonts w:ascii="Arial" w:hAnsi="Arial" w:cs="Arial"/>
            <w:sz w:val="20"/>
          </w:rPr>
          <w:t>Trust accounts</w:t>
        </w:r>
      </w:hyperlink>
      <w:r w:rsidRPr="00BD6196">
        <w:rPr>
          <w:rFonts w:ascii="Arial" w:hAnsi="Arial" w:cs="Arial"/>
          <w:sz w:val="20"/>
        </w:rPr>
        <w:t xml:space="preserve">. </w:t>
      </w:r>
    </w:p>
    <w:p w14:paraId="7CDA2945" w14:textId="77777777" w:rsidR="00126EB2" w:rsidRPr="00BD6196" w:rsidRDefault="00126EB2" w:rsidP="00BD6196">
      <w:pPr>
        <w:spacing w:line="276" w:lineRule="auto"/>
        <w:rPr>
          <w:rFonts w:ascii="Arial" w:hAnsi="Arial" w:cs="Arial"/>
          <w:sz w:val="24"/>
        </w:rPr>
      </w:pPr>
    </w:p>
    <w:p w14:paraId="57A9CF78" w14:textId="22B77F7D" w:rsidR="00C761DC" w:rsidRPr="00BD6196" w:rsidRDefault="00B765A5" w:rsidP="00BD6196">
      <w:pPr>
        <w:spacing w:line="276" w:lineRule="auto"/>
        <w:rPr>
          <w:rFonts w:ascii="Arial" w:hAnsi="Arial" w:cs="Arial"/>
          <w:b/>
          <w:sz w:val="28"/>
        </w:rPr>
      </w:pPr>
      <w:r w:rsidRPr="00BD6196">
        <w:rPr>
          <w:rFonts w:ascii="Arial" w:hAnsi="Arial" w:cs="Arial"/>
          <w:b/>
          <w:sz w:val="28"/>
        </w:rPr>
        <w:t xml:space="preserve">General Practice </w:t>
      </w:r>
    </w:p>
    <w:p w14:paraId="51B2B022" w14:textId="2DF57D35" w:rsidR="0081494E" w:rsidRDefault="00330186" w:rsidP="00BD6196">
      <w:pPr>
        <w:pStyle w:val="ListParagraph"/>
        <w:numPr>
          <w:ilvl w:val="0"/>
          <w:numId w:val="6"/>
        </w:numPr>
        <w:spacing w:line="276" w:lineRule="auto"/>
        <w:rPr>
          <w:rFonts w:ascii="Arial" w:hAnsi="Arial" w:cs="Arial"/>
          <w:sz w:val="24"/>
        </w:rPr>
      </w:pPr>
      <w:r w:rsidRPr="00BD6196">
        <w:rPr>
          <w:rFonts w:ascii="Arial" w:hAnsi="Arial" w:cs="Arial"/>
          <w:sz w:val="24"/>
        </w:rPr>
        <w:t>T</w:t>
      </w:r>
      <w:r w:rsidR="00861CEE" w:rsidRPr="00BD6196">
        <w:rPr>
          <w:rFonts w:ascii="Arial" w:hAnsi="Arial" w:cs="Arial"/>
          <w:sz w:val="24"/>
        </w:rPr>
        <w:t>otal General Practice expenditure as per DH</w:t>
      </w:r>
      <w:r w:rsidR="0088429A" w:rsidRPr="00BD6196">
        <w:rPr>
          <w:rFonts w:ascii="Arial" w:hAnsi="Arial" w:cs="Arial"/>
          <w:sz w:val="24"/>
        </w:rPr>
        <w:t>SC</w:t>
      </w:r>
      <w:r w:rsidR="00861CEE" w:rsidRPr="00BD6196">
        <w:rPr>
          <w:rFonts w:ascii="Arial" w:hAnsi="Arial" w:cs="Arial"/>
          <w:sz w:val="24"/>
        </w:rPr>
        <w:t xml:space="preserve"> accounts can be split into pay (</w:t>
      </w:r>
      <w:r w:rsidR="00416F0E">
        <w:rPr>
          <w:rFonts w:ascii="Arial" w:hAnsi="Arial" w:cs="Arial"/>
          <w:sz w:val="24"/>
        </w:rPr>
        <w:t>74</w:t>
      </w:r>
      <w:r w:rsidR="00861CEE" w:rsidRPr="00BD6196">
        <w:rPr>
          <w:rFonts w:ascii="Arial" w:hAnsi="Arial" w:cs="Arial"/>
          <w:sz w:val="24"/>
        </w:rPr>
        <w:t>% of spend) and non-pay (</w:t>
      </w:r>
      <w:r w:rsidR="00416F0E">
        <w:rPr>
          <w:rFonts w:ascii="Arial" w:hAnsi="Arial" w:cs="Arial"/>
          <w:sz w:val="24"/>
        </w:rPr>
        <w:t>26</w:t>
      </w:r>
      <w:r w:rsidR="00861CEE" w:rsidRPr="00BD6196">
        <w:rPr>
          <w:rFonts w:ascii="Arial" w:hAnsi="Arial" w:cs="Arial"/>
          <w:sz w:val="24"/>
        </w:rPr>
        <w:t>% of spend) using staff volume and unit costs to calculate total spend on</w:t>
      </w:r>
      <w:r w:rsidR="00A66C07" w:rsidRPr="00BD6196">
        <w:rPr>
          <w:rFonts w:ascii="Arial" w:hAnsi="Arial" w:cs="Arial"/>
          <w:sz w:val="24"/>
        </w:rPr>
        <w:t xml:space="preserve"> staff</w:t>
      </w:r>
      <w:r w:rsidR="0088429A" w:rsidRPr="00BD6196">
        <w:rPr>
          <w:rFonts w:ascii="Arial" w:hAnsi="Arial" w:cs="Arial"/>
          <w:sz w:val="24"/>
        </w:rPr>
        <w:t xml:space="preserve"> and goods and services</w:t>
      </w:r>
      <w:r w:rsidR="00A66C07" w:rsidRPr="00BD6196">
        <w:rPr>
          <w:rFonts w:ascii="Arial" w:hAnsi="Arial" w:cs="Arial"/>
          <w:sz w:val="24"/>
        </w:rPr>
        <w:t xml:space="preserve">. </w:t>
      </w:r>
      <w:r w:rsidR="00861CEE" w:rsidRPr="00BD6196">
        <w:rPr>
          <w:rFonts w:ascii="Arial" w:hAnsi="Arial" w:cs="Arial"/>
          <w:sz w:val="24"/>
        </w:rPr>
        <w:t xml:space="preserve"> </w:t>
      </w:r>
    </w:p>
    <w:p w14:paraId="71F558E7" w14:textId="77777777" w:rsidR="00BD6196" w:rsidRPr="00BD6196" w:rsidRDefault="00BD6196" w:rsidP="00BD6196">
      <w:pPr>
        <w:pStyle w:val="ListParagraph"/>
        <w:spacing w:line="276" w:lineRule="auto"/>
        <w:ind w:left="360"/>
        <w:rPr>
          <w:rFonts w:ascii="Arial" w:hAnsi="Arial" w:cs="Arial"/>
          <w:sz w:val="24"/>
        </w:rPr>
      </w:pPr>
    </w:p>
    <w:p w14:paraId="1B8B59C2" w14:textId="37681FAF" w:rsidR="00684F65" w:rsidRPr="00BD6196" w:rsidRDefault="00BD6196" w:rsidP="00126EB2">
      <w:pPr>
        <w:spacing w:after="0" w:line="276" w:lineRule="auto"/>
        <w:jc w:val="center"/>
        <w:rPr>
          <w:rFonts w:ascii="Arial" w:hAnsi="Arial" w:cs="Arial"/>
          <w:sz w:val="24"/>
          <w:u w:val="single"/>
        </w:rPr>
      </w:pPr>
      <w:r w:rsidRPr="00BD6196">
        <w:rPr>
          <w:rFonts w:ascii="Arial" w:hAnsi="Arial" w:cs="Arial"/>
          <w:sz w:val="24"/>
          <w:u w:val="single"/>
        </w:rPr>
        <w:t>Table 3: General Practice spend</w:t>
      </w:r>
      <w:r w:rsidR="00FA0F21">
        <w:rPr>
          <w:rFonts w:ascii="Arial" w:hAnsi="Arial" w:cs="Arial"/>
          <w:sz w:val="24"/>
          <w:u w:val="single"/>
        </w:rPr>
        <w:t xml:space="preserve"> (£m)</w:t>
      </w:r>
    </w:p>
    <w:tbl>
      <w:tblPr>
        <w:tblStyle w:val="TableGrid"/>
        <w:tblW w:w="8110" w:type="dxa"/>
        <w:jc w:val="center"/>
        <w:tblLook w:val="04A0" w:firstRow="1" w:lastRow="0" w:firstColumn="1" w:lastColumn="0" w:noHBand="0" w:noVBand="1"/>
      </w:tblPr>
      <w:tblGrid>
        <w:gridCol w:w="2547"/>
        <w:gridCol w:w="1851"/>
        <w:gridCol w:w="1279"/>
        <w:gridCol w:w="1279"/>
        <w:gridCol w:w="1200"/>
      </w:tblGrid>
      <w:tr w:rsidR="00FA0F21" w:rsidRPr="00BD6196" w14:paraId="196D5F3A" w14:textId="77AE978E" w:rsidTr="00FA0F21">
        <w:trPr>
          <w:trHeight w:val="154"/>
          <w:jc w:val="center"/>
        </w:trPr>
        <w:tc>
          <w:tcPr>
            <w:tcW w:w="2547" w:type="dxa"/>
            <w:noWrap/>
            <w:vAlign w:val="center"/>
            <w:hideMark/>
          </w:tcPr>
          <w:p w14:paraId="4C5238D1" w14:textId="77777777" w:rsidR="00FA0F21" w:rsidRPr="00BD6196" w:rsidRDefault="00FA0F21" w:rsidP="00BD6196">
            <w:pPr>
              <w:spacing w:line="276" w:lineRule="auto"/>
              <w:ind w:left="360"/>
              <w:jc w:val="right"/>
              <w:rPr>
                <w:rFonts w:ascii="Arial" w:hAnsi="Arial" w:cs="Arial"/>
              </w:rPr>
            </w:pPr>
          </w:p>
        </w:tc>
        <w:tc>
          <w:tcPr>
            <w:tcW w:w="1851" w:type="dxa"/>
            <w:noWrap/>
            <w:vAlign w:val="center"/>
            <w:hideMark/>
          </w:tcPr>
          <w:p w14:paraId="095A8FD5" w14:textId="77777777" w:rsidR="00FA0F21" w:rsidRPr="00BD6196" w:rsidRDefault="00FA0F21" w:rsidP="00BD6196">
            <w:pPr>
              <w:spacing w:line="276" w:lineRule="auto"/>
              <w:ind w:left="360"/>
              <w:jc w:val="right"/>
              <w:rPr>
                <w:rFonts w:ascii="Arial" w:hAnsi="Arial" w:cs="Arial"/>
                <w:b/>
              </w:rPr>
            </w:pPr>
            <w:r w:rsidRPr="00BD6196">
              <w:rPr>
                <w:rFonts w:ascii="Arial" w:hAnsi="Arial" w:cs="Arial"/>
                <w:b/>
              </w:rPr>
              <w:t>15/16</w:t>
            </w:r>
          </w:p>
        </w:tc>
        <w:tc>
          <w:tcPr>
            <w:tcW w:w="1279" w:type="dxa"/>
            <w:noWrap/>
            <w:vAlign w:val="center"/>
            <w:hideMark/>
          </w:tcPr>
          <w:p w14:paraId="724C930D" w14:textId="77777777" w:rsidR="00FA0F21" w:rsidRPr="00BD6196" w:rsidRDefault="00FA0F21" w:rsidP="00BD6196">
            <w:pPr>
              <w:spacing w:line="276" w:lineRule="auto"/>
              <w:ind w:left="360"/>
              <w:jc w:val="right"/>
              <w:rPr>
                <w:rFonts w:ascii="Arial" w:hAnsi="Arial" w:cs="Arial"/>
                <w:b/>
              </w:rPr>
            </w:pPr>
            <w:r w:rsidRPr="00BD6196">
              <w:rPr>
                <w:rFonts w:ascii="Arial" w:hAnsi="Arial" w:cs="Arial"/>
                <w:b/>
              </w:rPr>
              <w:t>16/17</w:t>
            </w:r>
          </w:p>
        </w:tc>
        <w:tc>
          <w:tcPr>
            <w:tcW w:w="1279" w:type="dxa"/>
            <w:noWrap/>
            <w:vAlign w:val="center"/>
            <w:hideMark/>
          </w:tcPr>
          <w:p w14:paraId="7EB24E28" w14:textId="77777777" w:rsidR="00FA0F21" w:rsidRPr="00BD6196" w:rsidRDefault="00FA0F21" w:rsidP="00BD6196">
            <w:pPr>
              <w:spacing w:line="276" w:lineRule="auto"/>
              <w:ind w:left="360"/>
              <w:jc w:val="right"/>
              <w:rPr>
                <w:rFonts w:ascii="Arial" w:hAnsi="Arial" w:cs="Arial"/>
                <w:b/>
              </w:rPr>
            </w:pPr>
            <w:r w:rsidRPr="00BD6196">
              <w:rPr>
                <w:rFonts w:ascii="Arial" w:hAnsi="Arial" w:cs="Arial"/>
                <w:b/>
              </w:rPr>
              <w:t>17/18</w:t>
            </w:r>
          </w:p>
        </w:tc>
        <w:tc>
          <w:tcPr>
            <w:tcW w:w="1154" w:type="dxa"/>
          </w:tcPr>
          <w:p w14:paraId="7FF92901" w14:textId="6F2D9CEA" w:rsidR="00FA0F21" w:rsidRPr="00BD6196" w:rsidRDefault="00FA0F21" w:rsidP="00BD6196">
            <w:pPr>
              <w:spacing w:line="276" w:lineRule="auto"/>
              <w:ind w:left="360"/>
              <w:jc w:val="right"/>
              <w:rPr>
                <w:rFonts w:ascii="Arial" w:hAnsi="Arial" w:cs="Arial"/>
                <w:b/>
              </w:rPr>
            </w:pPr>
            <w:r>
              <w:rPr>
                <w:rFonts w:ascii="Arial" w:hAnsi="Arial" w:cs="Arial"/>
                <w:b/>
              </w:rPr>
              <w:t>18/19</w:t>
            </w:r>
          </w:p>
        </w:tc>
      </w:tr>
      <w:tr w:rsidR="00FA0F21" w:rsidRPr="00BD6196" w14:paraId="45E758CB" w14:textId="14A70679" w:rsidTr="00FA0F21">
        <w:trPr>
          <w:trHeight w:val="154"/>
          <w:jc w:val="center"/>
        </w:trPr>
        <w:tc>
          <w:tcPr>
            <w:tcW w:w="2547" w:type="dxa"/>
            <w:noWrap/>
            <w:vAlign w:val="center"/>
          </w:tcPr>
          <w:p w14:paraId="6EB97739" w14:textId="0538F4EB" w:rsidR="00FA0F21" w:rsidRPr="00BD6196" w:rsidRDefault="00FA0F21" w:rsidP="00FA0F21">
            <w:pPr>
              <w:spacing w:line="276" w:lineRule="auto"/>
              <w:rPr>
                <w:rFonts w:ascii="Arial" w:hAnsi="Arial" w:cs="Arial"/>
              </w:rPr>
            </w:pPr>
            <w:r w:rsidRPr="00BD6196">
              <w:rPr>
                <w:rFonts w:ascii="Arial" w:hAnsi="Arial" w:cs="Arial"/>
              </w:rPr>
              <w:t xml:space="preserve">General Practice </w:t>
            </w:r>
          </w:p>
        </w:tc>
        <w:tc>
          <w:tcPr>
            <w:tcW w:w="1851" w:type="dxa"/>
            <w:noWrap/>
          </w:tcPr>
          <w:p w14:paraId="5C1FBF2A" w14:textId="75067C7F" w:rsidR="00FA0F21" w:rsidRPr="00FA0F21" w:rsidRDefault="00FA0F21" w:rsidP="00FA0F21">
            <w:pPr>
              <w:spacing w:line="276" w:lineRule="auto"/>
              <w:ind w:left="360"/>
              <w:jc w:val="right"/>
              <w:rPr>
                <w:rFonts w:ascii="Arial" w:hAnsi="Arial" w:cs="Arial"/>
                <w:b/>
              </w:rPr>
            </w:pPr>
            <w:r w:rsidRPr="00FA0F21">
              <w:rPr>
                <w:rFonts w:ascii="Arial" w:hAnsi="Arial" w:cs="Arial"/>
              </w:rPr>
              <w:t>7</w:t>
            </w:r>
            <w:r w:rsidR="001646A2">
              <w:rPr>
                <w:rFonts w:ascii="Arial" w:hAnsi="Arial" w:cs="Arial"/>
              </w:rPr>
              <w:t>,</w:t>
            </w:r>
            <w:r w:rsidRPr="00FA0F21">
              <w:rPr>
                <w:rFonts w:ascii="Arial" w:hAnsi="Arial" w:cs="Arial"/>
              </w:rPr>
              <w:t>764</w:t>
            </w:r>
          </w:p>
        </w:tc>
        <w:tc>
          <w:tcPr>
            <w:tcW w:w="1279" w:type="dxa"/>
            <w:noWrap/>
          </w:tcPr>
          <w:p w14:paraId="48F59908" w14:textId="65009140" w:rsidR="00FA0F21" w:rsidRPr="00FA0F21" w:rsidRDefault="00FA0F21" w:rsidP="00FA0F21">
            <w:pPr>
              <w:spacing w:line="276" w:lineRule="auto"/>
              <w:ind w:left="360"/>
              <w:jc w:val="right"/>
              <w:rPr>
                <w:rFonts w:ascii="Arial" w:hAnsi="Arial" w:cs="Arial"/>
                <w:b/>
              </w:rPr>
            </w:pPr>
            <w:r w:rsidRPr="00FA0F21">
              <w:rPr>
                <w:rFonts w:ascii="Arial" w:hAnsi="Arial" w:cs="Arial"/>
              </w:rPr>
              <w:t>7</w:t>
            </w:r>
            <w:r w:rsidR="001646A2">
              <w:rPr>
                <w:rFonts w:ascii="Arial" w:hAnsi="Arial" w:cs="Arial"/>
              </w:rPr>
              <w:t>,</w:t>
            </w:r>
            <w:r w:rsidRPr="00FA0F21">
              <w:rPr>
                <w:rFonts w:ascii="Arial" w:hAnsi="Arial" w:cs="Arial"/>
              </w:rPr>
              <w:t>939</w:t>
            </w:r>
          </w:p>
        </w:tc>
        <w:tc>
          <w:tcPr>
            <w:tcW w:w="1279" w:type="dxa"/>
            <w:noWrap/>
          </w:tcPr>
          <w:p w14:paraId="10FC9B88" w14:textId="4FF1FA6F" w:rsidR="00FA0F21" w:rsidRPr="00FA0F21" w:rsidRDefault="00FA0F21" w:rsidP="00FA0F21">
            <w:pPr>
              <w:spacing w:line="276" w:lineRule="auto"/>
              <w:ind w:left="360"/>
              <w:jc w:val="right"/>
              <w:rPr>
                <w:rFonts w:ascii="Arial" w:hAnsi="Arial" w:cs="Arial"/>
                <w:b/>
              </w:rPr>
            </w:pPr>
            <w:r w:rsidRPr="00FA0F21">
              <w:rPr>
                <w:rFonts w:ascii="Arial" w:hAnsi="Arial" w:cs="Arial"/>
              </w:rPr>
              <w:t>8</w:t>
            </w:r>
            <w:r w:rsidR="001646A2">
              <w:rPr>
                <w:rFonts w:ascii="Arial" w:hAnsi="Arial" w:cs="Arial"/>
              </w:rPr>
              <w:t>,</w:t>
            </w:r>
            <w:r w:rsidRPr="00FA0F21">
              <w:rPr>
                <w:rFonts w:ascii="Arial" w:hAnsi="Arial" w:cs="Arial"/>
              </w:rPr>
              <w:t>242</w:t>
            </w:r>
          </w:p>
        </w:tc>
        <w:tc>
          <w:tcPr>
            <w:tcW w:w="1154" w:type="dxa"/>
          </w:tcPr>
          <w:p w14:paraId="66B01437" w14:textId="1121598E" w:rsidR="00FA0F21" w:rsidRPr="00FA0F21" w:rsidRDefault="00FA0F21" w:rsidP="00FA0F21">
            <w:pPr>
              <w:spacing w:line="276" w:lineRule="auto"/>
              <w:ind w:left="360"/>
              <w:jc w:val="right"/>
              <w:rPr>
                <w:rFonts w:ascii="Arial" w:hAnsi="Arial" w:cs="Arial"/>
              </w:rPr>
            </w:pPr>
            <w:r w:rsidRPr="00FA0F21">
              <w:rPr>
                <w:rFonts w:ascii="Arial" w:hAnsi="Arial" w:cs="Arial"/>
              </w:rPr>
              <w:t>8</w:t>
            </w:r>
            <w:r w:rsidR="001646A2">
              <w:rPr>
                <w:rFonts w:ascii="Arial" w:hAnsi="Arial" w:cs="Arial"/>
              </w:rPr>
              <w:t>,</w:t>
            </w:r>
            <w:r w:rsidRPr="00FA0F21">
              <w:rPr>
                <w:rFonts w:ascii="Arial" w:hAnsi="Arial" w:cs="Arial"/>
              </w:rPr>
              <w:t>493</w:t>
            </w:r>
          </w:p>
        </w:tc>
      </w:tr>
      <w:tr w:rsidR="00FA0F21" w:rsidRPr="00BD6196" w14:paraId="2422E553" w14:textId="0C046E08" w:rsidTr="00FA0F21">
        <w:trPr>
          <w:trHeight w:val="309"/>
          <w:jc w:val="center"/>
        </w:trPr>
        <w:tc>
          <w:tcPr>
            <w:tcW w:w="2547" w:type="dxa"/>
            <w:vAlign w:val="center"/>
            <w:hideMark/>
          </w:tcPr>
          <w:p w14:paraId="13EAEFF1" w14:textId="64BB6C5C" w:rsidR="00FA0F21" w:rsidRPr="00BD6196" w:rsidRDefault="00FA0F21" w:rsidP="00FA0F21">
            <w:pPr>
              <w:spacing w:line="276" w:lineRule="auto"/>
              <w:rPr>
                <w:rFonts w:ascii="Arial" w:hAnsi="Arial" w:cs="Arial"/>
              </w:rPr>
            </w:pPr>
            <w:r w:rsidRPr="00BD6196">
              <w:rPr>
                <w:rFonts w:ascii="Arial" w:hAnsi="Arial" w:cs="Arial"/>
              </w:rPr>
              <w:t xml:space="preserve">General Practice staff </w:t>
            </w:r>
          </w:p>
        </w:tc>
        <w:tc>
          <w:tcPr>
            <w:tcW w:w="1851" w:type="dxa"/>
            <w:noWrap/>
            <w:hideMark/>
          </w:tcPr>
          <w:p w14:paraId="3703A90C" w14:textId="14E309ED" w:rsidR="00FA0F21" w:rsidRPr="00FA0F21" w:rsidRDefault="00FA0F21" w:rsidP="00FA0F21">
            <w:pPr>
              <w:spacing w:line="276" w:lineRule="auto"/>
              <w:ind w:left="360"/>
              <w:jc w:val="right"/>
              <w:rPr>
                <w:rFonts w:ascii="Arial" w:hAnsi="Arial" w:cs="Arial"/>
              </w:rPr>
            </w:pPr>
            <w:r w:rsidRPr="00FA0F21">
              <w:rPr>
                <w:rFonts w:ascii="Arial" w:hAnsi="Arial" w:cs="Arial"/>
              </w:rPr>
              <w:t>5</w:t>
            </w:r>
            <w:r w:rsidR="001646A2">
              <w:rPr>
                <w:rFonts w:ascii="Arial" w:hAnsi="Arial" w:cs="Arial"/>
              </w:rPr>
              <w:t>,</w:t>
            </w:r>
            <w:r w:rsidRPr="00FA0F21">
              <w:rPr>
                <w:rFonts w:ascii="Arial" w:hAnsi="Arial" w:cs="Arial"/>
              </w:rPr>
              <w:t>822</w:t>
            </w:r>
          </w:p>
        </w:tc>
        <w:tc>
          <w:tcPr>
            <w:tcW w:w="1279" w:type="dxa"/>
            <w:noWrap/>
            <w:hideMark/>
          </w:tcPr>
          <w:p w14:paraId="2279098D" w14:textId="61D14161" w:rsidR="00FA0F21" w:rsidRPr="00FA0F21" w:rsidRDefault="00FA0F21" w:rsidP="00FA0F21">
            <w:pPr>
              <w:spacing w:line="276" w:lineRule="auto"/>
              <w:ind w:left="360"/>
              <w:jc w:val="right"/>
              <w:rPr>
                <w:rFonts w:ascii="Arial" w:hAnsi="Arial" w:cs="Arial"/>
              </w:rPr>
            </w:pPr>
            <w:r w:rsidRPr="00FA0F21">
              <w:rPr>
                <w:rFonts w:ascii="Arial" w:hAnsi="Arial" w:cs="Arial"/>
              </w:rPr>
              <w:t>6</w:t>
            </w:r>
            <w:r w:rsidR="001646A2">
              <w:rPr>
                <w:rFonts w:ascii="Arial" w:hAnsi="Arial" w:cs="Arial"/>
              </w:rPr>
              <w:t>,</w:t>
            </w:r>
            <w:r w:rsidRPr="00FA0F21">
              <w:rPr>
                <w:rFonts w:ascii="Arial" w:hAnsi="Arial" w:cs="Arial"/>
              </w:rPr>
              <w:t>008</w:t>
            </w:r>
          </w:p>
        </w:tc>
        <w:tc>
          <w:tcPr>
            <w:tcW w:w="1279" w:type="dxa"/>
            <w:noWrap/>
            <w:hideMark/>
          </w:tcPr>
          <w:p w14:paraId="1870380C" w14:textId="33C60D1E" w:rsidR="00FA0F21" w:rsidRPr="00FA0F21" w:rsidRDefault="00FA0F21" w:rsidP="00FA0F21">
            <w:pPr>
              <w:spacing w:line="276" w:lineRule="auto"/>
              <w:ind w:left="360"/>
              <w:jc w:val="right"/>
              <w:rPr>
                <w:rFonts w:ascii="Arial" w:hAnsi="Arial" w:cs="Arial"/>
              </w:rPr>
            </w:pPr>
            <w:r w:rsidRPr="00FA0F21">
              <w:rPr>
                <w:rFonts w:ascii="Arial" w:hAnsi="Arial" w:cs="Arial"/>
              </w:rPr>
              <w:t>6</w:t>
            </w:r>
            <w:r w:rsidR="001646A2">
              <w:rPr>
                <w:rFonts w:ascii="Arial" w:hAnsi="Arial" w:cs="Arial"/>
              </w:rPr>
              <w:t>,</w:t>
            </w:r>
            <w:r w:rsidRPr="00FA0F21">
              <w:rPr>
                <w:rFonts w:ascii="Arial" w:hAnsi="Arial" w:cs="Arial"/>
              </w:rPr>
              <w:t>094</w:t>
            </w:r>
          </w:p>
        </w:tc>
        <w:tc>
          <w:tcPr>
            <w:tcW w:w="1154" w:type="dxa"/>
          </w:tcPr>
          <w:p w14:paraId="20FDD989" w14:textId="47755F46" w:rsidR="00FA0F21" w:rsidRPr="00FA0F21" w:rsidRDefault="00FA0F21" w:rsidP="00FA0F21">
            <w:pPr>
              <w:spacing w:line="276" w:lineRule="auto"/>
              <w:ind w:left="360"/>
              <w:jc w:val="right"/>
              <w:rPr>
                <w:rFonts w:ascii="Arial" w:hAnsi="Arial" w:cs="Arial"/>
              </w:rPr>
            </w:pPr>
            <w:r w:rsidRPr="00FA0F21">
              <w:rPr>
                <w:rFonts w:ascii="Arial" w:hAnsi="Arial" w:cs="Arial"/>
              </w:rPr>
              <w:t>6</w:t>
            </w:r>
            <w:r w:rsidR="001646A2">
              <w:rPr>
                <w:rFonts w:ascii="Arial" w:hAnsi="Arial" w:cs="Arial"/>
              </w:rPr>
              <w:t>,</w:t>
            </w:r>
            <w:r w:rsidRPr="00FA0F21">
              <w:rPr>
                <w:rFonts w:ascii="Arial" w:hAnsi="Arial" w:cs="Arial"/>
              </w:rPr>
              <w:t>299</w:t>
            </w:r>
          </w:p>
        </w:tc>
      </w:tr>
      <w:tr w:rsidR="00FA0F21" w:rsidRPr="00BD6196" w14:paraId="65DACEFF" w14:textId="458F3230" w:rsidTr="00FA0F21">
        <w:trPr>
          <w:trHeight w:val="154"/>
          <w:jc w:val="center"/>
        </w:trPr>
        <w:tc>
          <w:tcPr>
            <w:tcW w:w="2547" w:type="dxa"/>
            <w:noWrap/>
            <w:vAlign w:val="center"/>
            <w:hideMark/>
          </w:tcPr>
          <w:p w14:paraId="375D2EF3" w14:textId="77777777" w:rsidR="00FA0F21" w:rsidRPr="00BD6196" w:rsidRDefault="00FA0F21" w:rsidP="00FA0F21">
            <w:pPr>
              <w:spacing w:line="276" w:lineRule="auto"/>
              <w:rPr>
                <w:rFonts w:ascii="Arial" w:hAnsi="Arial" w:cs="Arial"/>
              </w:rPr>
            </w:pPr>
            <w:r w:rsidRPr="00BD6196">
              <w:rPr>
                <w:rFonts w:ascii="Arial" w:hAnsi="Arial" w:cs="Arial"/>
              </w:rPr>
              <w:t>% staff spend</w:t>
            </w:r>
          </w:p>
        </w:tc>
        <w:tc>
          <w:tcPr>
            <w:tcW w:w="1851" w:type="dxa"/>
            <w:noWrap/>
            <w:hideMark/>
          </w:tcPr>
          <w:p w14:paraId="0CDEFA6B" w14:textId="42ABCEEE" w:rsidR="00FA0F21" w:rsidRPr="00FA0F21" w:rsidRDefault="00FA0F21" w:rsidP="00CD1DDB">
            <w:pPr>
              <w:spacing w:line="276" w:lineRule="auto"/>
              <w:ind w:left="360"/>
              <w:jc w:val="right"/>
              <w:rPr>
                <w:rFonts w:ascii="Arial" w:hAnsi="Arial" w:cs="Arial"/>
              </w:rPr>
            </w:pPr>
            <w:r w:rsidRPr="00FA0F21">
              <w:rPr>
                <w:rFonts w:ascii="Arial" w:hAnsi="Arial" w:cs="Arial"/>
              </w:rPr>
              <w:t>75.0%</w:t>
            </w:r>
          </w:p>
        </w:tc>
        <w:tc>
          <w:tcPr>
            <w:tcW w:w="1279" w:type="dxa"/>
            <w:noWrap/>
            <w:hideMark/>
          </w:tcPr>
          <w:p w14:paraId="6139A20D" w14:textId="10C9B378" w:rsidR="00FA0F21" w:rsidRPr="00FA0F21" w:rsidRDefault="00FA0F21" w:rsidP="00CD1DDB">
            <w:pPr>
              <w:spacing w:line="276" w:lineRule="auto"/>
              <w:ind w:left="360"/>
              <w:jc w:val="right"/>
              <w:rPr>
                <w:rFonts w:ascii="Arial" w:hAnsi="Arial" w:cs="Arial"/>
              </w:rPr>
            </w:pPr>
            <w:r w:rsidRPr="00FA0F21">
              <w:rPr>
                <w:rFonts w:ascii="Arial" w:hAnsi="Arial" w:cs="Arial"/>
              </w:rPr>
              <w:t>75.7%</w:t>
            </w:r>
          </w:p>
        </w:tc>
        <w:tc>
          <w:tcPr>
            <w:tcW w:w="1279" w:type="dxa"/>
            <w:noWrap/>
            <w:hideMark/>
          </w:tcPr>
          <w:p w14:paraId="7B0ABBFD" w14:textId="26AE0DFB" w:rsidR="00FA0F21" w:rsidRPr="00FA0F21" w:rsidRDefault="00FA0F21" w:rsidP="00CD1DDB">
            <w:pPr>
              <w:spacing w:line="276" w:lineRule="auto"/>
              <w:ind w:left="360"/>
              <w:jc w:val="right"/>
              <w:rPr>
                <w:rFonts w:ascii="Arial" w:hAnsi="Arial" w:cs="Arial"/>
              </w:rPr>
            </w:pPr>
            <w:r w:rsidRPr="00FA0F21">
              <w:rPr>
                <w:rFonts w:ascii="Arial" w:hAnsi="Arial" w:cs="Arial"/>
              </w:rPr>
              <w:t>73.9%</w:t>
            </w:r>
          </w:p>
        </w:tc>
        <w:tc>
          <w:tcPr>
            <w:tcW w:w="1154" w:type="dxa"/>
          </w:tcPr>
          <w:p w14:paraId="218537FA" w14:textId="02AD4826" w:rsidR="00FA0F21" w:rsidRPr="00FA0F21" w:rsidRDefault="00FA0F21" w:rsidP="00CD1DDB">
            <w:pPr>
              <w:spacing w:line="276" w:lineRule="auto"/>
              <w:ind w:left="360"/>
              <w:jc w:val="right"/>
              <w:rPr>
                <w:rFonts w:ascii="Arial" w:hAnsi="Arial" w:cs="Arial"/>
              </w:rPr>
            </w:pPr>
            <w:r w:rsidRPr="00FA0F21">
              <w:rPr>
                <w:rFonts w:ascii="Arial" w:hAnsi="Arial" w:cs="Arial"/>
              </w:rPr>
              <w:t>74.2%</w:t>
            </w:r>
          </w:p>
        </w:tc>
      </w:tr>
    </w:tbl>
    <w:p w14:paraId="1643F0AB" w14:textId="7C2197F1" w:rsidR="00B765A5" w:rsidRPr="00BD6196" w:rsidRDefault="00B765A5" w:rsidP="00BD6196">
      <w:pPr>
        <w:spacing w:line="276" w:lineRule="auto"/>
        <w:ind w:left="360"/>
        <w:rPr>
          <w:rFonts w:ascii="Arial" w:hAnsi="Arial" w:cs="Arial"/>
          <w:sz w:val="20"/>
        </w:rPr>
      </w:pPr>
      <w:r w:rsidRPr="00BD6196">
        <w:rPr>
          <w:rFonts w:ascii="Arial" w:hAnsi="Arial" w:cs="Arial"/>
          <w:sz w:val="20"/>
        </w:rPr>
        <w:t>Note: Total General Practi</w:t>
      </w:r>
      <w:r w:rsidR="00E15771" w:rsidRPr="00BD6196">
        <w:rPr>
          <w:rFonts w:ascii="Arial" w:hAnsi="Arial" w:cs="Arial"/>
          <w:sz w:val="20"/>
        </w:rPr>
        <w:t>c</w:t>
      </w:r>
      <w:r w:rsidRPr="00BD6196">
        <w:rPr>
          <w:rFonts w:ascii="Arial" w:hAnsi="Arial" w:cs="Arial"/>
          <w:sz w:val="20"/>
        </w:rPr>
        <w:t xml:space="preserve">e spend comes from </w:t>
      </w:r>
      <w:r w:rsidR="0023493B" w:rsidRPr="00BD6196">
        <w:rPr>
          <w:rFonts w:ascii="Arial" w:hAnsi="Arial" w:cs="Arial"/>
          <w:sz w:val="20"/>
        </w:rPr>
        <w:t xml:space="preserve">material expenditure items from </w:t>
      </w:r>
      <w:hyperlink r:id="rId14" w:history="1">
        <w:r w:rsidRPr="00BD6196">
          <w:rPr>
            <w:rStyle w:val="Hyperlink"/>
            <w:rFonts w:ascii="Arial" w:hAnsi="Arial" w:cs="Arial"/>
            <w:sz w:val="20"/>
          </w:rPr>
          <w:t>DH</w:t>
        </w:r>
        <w:r w:rsidR="0088429A" w:rsidRPr="00BD6196">
          <w:rPr>
            <w:rStyle w:val="Hyperlink"/>
            <w:rFonts w:ascii="Arial" w:hAnsi="Arial" w:cs="Arial"/>
            <w:sz w:val="20"/>
          </w:rPr>
          <w:t>SC</w:t>
        </w:r>
        <w:r w:rsidRPr="00BD6196">
          <w:rPr>
            <w:rStyle w:val="Hyperlink"/>
            <w:rFonts w:ascii="Arial" w:hAnsi="Arial" w:cs="Arial"/>
            <w:sz w:val="20"/>
          </w:rPr>
          <w:t xml:space="preserve"> accounts</w:t>
        </w:r>
      </w:hyperlink>
      <w:r w:rsidRPr="00BD6196">
        <w:rPr>
          <w:rFonts w:ascii="Arial" w:hAnsi="Arial" w:cs="Arial"/>
          <w:sz w:val="20"/>
        </w:rPr>
        <w:t>. Total staff spend is calculated using the staff volumes and unit costs from below.</w:t>
      </w:r>
    </w:p>
    <w:p w14:paraId="151905EB" w14:textId="7C04BB65" w:rsidR="00B765A5" w:rsidRPr="00BD6196" w:rsidRDefault="00B765A5" w:rsidP="00BD6196">
      <w:pPr>
        <w:spacing w:line="276" w:lineRule="auto"/>
        <w:rPr>
          <w:rFonts w:ascii="Arial" w:hAnsi="Arial" w:cs="Arial"/>
          <w:sz w:val="24"/>
        </w:rPr>
      </w:pPr>
    </w:p>
    <w:p w14:paraId="1BBD2E18" w14:textId="25B9DA6C" w:rsidR="00B765A5" w:rsidRPr="00BD6196" w:rsidRDefault="0088429A" w:rsidP="00BD6196">
      <w:pPr>
        <w:pStyle w:val="ListParagraph"/>
        <w:numPr>
          <w:ilvl w:val="0"/>
          <w:numId w:val="6"/>
        </w:numPr>
        <w:spacing w:line="276" w:lineRule="auto"/>
        <w:rPr>
          <w:rFonts w:ascii="Arial" w:hAnsi="Arial" w:cs="Arial"/>
          <w:sz w:val="24"/>
        </w:rPr>
      </w:pPr>
      <w:r w:rsidRPr="00BD6196">
        <w:rPr>
          <w:rFonts w:ascii="Arial" w:hAnsi="Arial" w:cs="Arial"/>
          <w:sz w:val="24"/>
        </w:rPr>
        <w:t>Staff</w:t>
      </w:r>
      <w:r w:rsidR="00B765A5" w:rsidRPr="00BD6196">
        <w:rPr>
          <w:rFonts w:ascii="Arial" w:hAnsi="Arial" w:cs="Arial"/>
          <w:sz w:val="24"/>
        </w:rPr>
        <w:t xml:space="preserve"> </w:t>
      </w:r>
      <w:r w:rsidR="00A66C07" w:rsidRPr="00BD6196">
        <w:rPr>
          <w:rFonts w:ascii="Arial" w:hAnsi="Arial" w:cs="Arial"/>
          <w:sz w:val="24"/>
        </w:rPr>
        <w:t>pay is the main category of spend</w:t>
      </w:r>
      <w:r w:rsidR="00330186" w:rsidRPr="00BD6196">
        <w:rPr>
          <w:rFonts w:ascii="Arial" w:hAnsi="Arial" w:cs="Arial"/>
          <w:sz w:val="24"/>
        </w:rPr>
        <w:t xml:space="preserve"> and </w:t>
      </w:r>
      <w:r w:rsidRPr="00BD6196">
        <w:rPr>
          <w:rFonts w:ascii="Arial" w:hAnsi="Arial" w:cs="Arial"/>
          <w:sz w:val="24"/>
        </w:rPr>
        <w:t>the main</w:t>
      </w:r>
      <w:r w:rsidR="00330186" w:rsidRPr="00BD6196">
        <w:rPr>
          <w:rFonts w:ascii="Arial" w:hAnsi="Arial" w:cs="Arial"/>
          <w:sz w:val="24"/>
        </w:rPr>
        <w:t xml:space="preserve"> source of inflation</w:t>
      </w:r>
      <w:r w:rsidR="00B765A5" w:rsidRPr="00BD6196">
        <w:rPr>
          <w:rFonts w:ascii="Arial" w:hAnsi="Arial" w:cs="Arial"/>
          <w:sz w:val="24"/>
        </w:rPr>
        <w:t xml:space="preserve"> in General Practice. </w:t>
      </w:r>
      <w:r w:rsidR="00A66C07" w:rsidRPr="00BD6196">
        <w:rPr>
          <w:rFonts w:ascii="Arial" w:hAnsi="Arial" w:cs="Arial"/>
          <w:sz w:val="24"/>
        </w:rPr>
        <w:t>This can be further broken down into different staff groups to give more granularity. The</w:t>
      </w:r>
      <w:r w:rsidR="00B765A5" w:rsidRPr="00BD6196">
        <w:rPr>
          <w:rFonts w:ascii="Arial" w:hAnsi="Arial" w:cs="Arial"/>
          <w:sz w:val="24"/>
        </w:rPr>
        <w:t xml:space="preserve"> tables</w:t>
      </w:r>
      <w:r w:rsidR="00A66C07" w:rsidRPr="00BD6196">
        <w:rPr>
          <w:rFonts w:ascii="Arial" w:hAnsi="Arial" w:cs="Arial"/>
          <w:sz w:val="24"/>
        </w:rPr>
        <w:t xml:space="preserve"> below</w:t>
      </w:r>
      <w:r w:rsidR="00B765A5" w:rsidRPr="00BD6196">
        <w:rPr>
          <w:rFonts w:ascii="Arial" w:hAnsi="Arial" w:cs="Arial"/>
          <w:sz w:val="24"/>
        </w:rPr>
        <w:t xml:space="preserve"> show staff volumes and unit costs </w:t>
      </w:r>
      <w:r w:rsidR="00330186" w:rsidRPr="00BD6196">
        <w:rPr>
          <w:rFonts w:ascii="Arial" w:hAnsi="Arial" w:cs="Arial"/>
          <w:sz w:val="24"/>
        </w:rPr>
        <w:t xml:space="preserve">for different staff groups </w:t>
      </w:r>
      <w:r w:rsidR="00B765A5" w:rsidRPr="00BD6196">
        <w:rPr>
          <w:rFonts w:ascii="Arial" w:hAnsi="Arial" w:cs="Arial"/>
          <w:sz w:val="24"/>
        </w:rPr>
        <w:t xml:space="preserve">which make </w:t>
      </w:r>
      <w:r w:rsidRPr="00BD6196">
        <w:rPr>
          <w:rFonts w:ascii="Arial" w:hAnsi="Arial" w:cs="Arial"/>
          <w:sz w:val="24"/>
        </w:rPr>
        <w:t>up the</w:t>
      </w:r>
      <w:r w:rsidR="00B765A5" w:rsidRPr="00BD6196">
        <w:rPr>
          <w:rFonts w:ascii="Arial" w:hAnsi="Arial" w:cs="Arial"/>
          <w:sz w:val="24"/>
        </w:rPr>
        <w:t xml:space="preserve"> total staff spend.  </w:t>
      </w:r>
    </w:p>
    <w:p w14:paraId="1A0C8645" w14:textId="77777777" w:rsidR="00A001EA" w:rsidRDefault="00A001EA" w:rsidP="00BD6196">
      <w:pPr>
        <w:spacing w:after="0" w:line="276" w:lineRule="auto"/>
        <w:jc w:val="center"/>
        <w:rPr>
          <w:rFonts w:ascii="Arial" w:hAnsi="Arial" w:cs="Arial"/>
          <w:sz w:val="24"/>
          <w:u w:val="single"/>
        </w:rPr>
      </w:pPr>
    </w:p>
    <w:p w14:paraId="219DB955" w14:textId="0A37CEFD" w:rsidR="00BD6196" w:rsidRPr="00BD6196" w:rsidRDefault="00BD6196" w:rsidP="00BD6196">
      <w:pPr>
        <w:spacing w:after="0" w:line="276" w:lineRule="auto"/>
        <w:jc w:val="center"/>
        <w:rPr>
          <w:rFonts w:ascii="Arial" w:hAnsi="Arial" w:cs="Arial"/>
          <w:sz w:val="24"/>
          <w:u w:val="single"/>
        </w:rPr>
      </w:pPr>
      <w:r w:rsidRPr="00BD6196">
        <w:rPr>
          <w:rFonts w:ascii="Arial" w:hAnsi="Arial" w:cs="Arial"/>
          <w:sz w:val="24"/>
          <w:u w:val="single"/>
        </w:rPr>
        <w:t xml:space="preserve">Table </w:t>
      </w:r>
      <w:r>
        <w:rPr>
          <w:rFonts w:ascii="Arial" w:hAnsi="Arial" w:cs="Arial"/>
          <w:sz w:val="24"/>
          <w:u w:val="single"/>
        </w:rPr>
        <w:t>4</w:t>
      </w:r>
      <w:r w:rsidRPr="00BD6196">
        <w:rPr>
          <w:rFonts w:ascii="Arial" w:hAnsi="Arial" w:cs="Arial"/>
          <w:sz w:val="24"/>
          <w:u w:val="single"/>
        </w:rPr>
        <w:t xml:space="preserve">: General Practice </w:t>
      </w:r>
      <w:r>
        <w:rPr>
          <w:rFonts w:ascii="Arial" w:hAnsi="Arial" w:cs="Arial"/>
          <w:sz w:val="24"/>
          <w:u w:val="single"/>
        </w:rPr>
        <w:t>staff</w:t>
      </w:r>
      <w:r w:rsidR="00FA0F21">
        <w:rPr>
          <w:rFonts w:ascii="Arial" w:hAnsi="Arial" w:cs="Arial"/>
          <w:sz w:val="24"/>
          <w:u w:val="single"/>
        </w:rPr>
        <w:t xml:space="preserve"> (FTE)</w:t>
      </w:r>
    </w:p>
    <w:tbl>
      <w:tblPr>
        <w:tblW w:w="8280" w:type="dxa"/>
        <w:jc w:val="center"/>
        <w:tblLook w:val="04A0" w:firstRow="1" w:lastRow="0" w:firstColumn="1" w:lastColumn="0" w:noHBand="0" w:noVBand="1"/>
      </w:tblPr>
      <w:tblGrid>
        <w:gridCol w:w="3114"/>
        <w:gridCol w:w="1276"/>
        <w:gridCol w:w="1210"/>
        <w:gridCol w:w="1340"/>
        <w:gridCol w:w="1340"/>
      </w:tblGrid>
      <w:tr w:rsidR="008A1D58" w:rsidRPr="00416F0E" w14:paraId="72E55EB3" w14:textId="11E2FEA0" w:rsidTr="008A1D58">
        <w:trPr>
          <w:trHeight w:val="300"/>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0DB3F" w14:textId="77777777" w:rsidR="008A1D58" w:rsidRPr="00416F0E" w:rsidRDefault="008A1D58" w:rsidP="00416F0E">
            <w:pPr>
              <w:spacing w:after="0" w:line="240" w:lineRule="auto"/>
              <w:rPr>
                <w:rFonts w:ascii="Arial" w:eastAsia="Times New Roman" w:hAnsi="Arial" w:cs="Arial"/>
                <w:color w:val="000000"/>
                <w:lang w:eastAsia="en-GB"/>
              </w:rPr>
            </w:pPr>
            <w:r w:rsidRPr="00416F0E">
              <w:rPr>
                <w:rFonts w:ascii="Arial" w:eastAsia="Times New Roman" w:hAnsi="Arial" w:cs="Arial"/>
                <w:color w:val="00000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09F13" w14:textId="77777777" w:rsidR="008A1D58" w:rsidRPr="00416F0E" w:rsidRDefault="008A1D58" w:rsidP="00416F0E">
            <w:pPr>
              <w:spacing w:after="0" w:line="240" w:lineRule="auto"/>
              <w:jc w:val="right"/>
              <w:rPr>
                <w:rFonts w:ascii="Arial" w:eastAsia="Times New Roman" w:hAnsi="Arial" w:cs="Arial"/>
                <w:b/>
                <w:color w:val="000000"/>
                <w:lang w:eastAsia="en-GB"/>
              </w:rPr>
            </w:pPr>
            <w:r w:rsidRPr="00416F0E">
              <w:rPr>
                <w:rFonts w:ascii="Arial" w:eastAsia="Times New Roman" w:hAnsi="Arial" w:cs="Arial"/>
                <w:b/>
                <w:color w:val="000000"/>
                <w:lang w:eastAsia="en-GB"/>
              </w:rPr>
              <w:t>15/16</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14:paraId="172366E9" w14:textId="77777777" w:rsidR="008A1D58" w:rsidRPr="00416F0E" w:rsidRDefault="008A1D58" w:rsidP="00416F0E">
            <w:pPr>
              <w:spacing w:after="0" w:line="240" w:lineRule="auto"/>
              <w:jc w:val="right"/>
              <w:rPr>
                <w:rFonts w:ascii="Arial" w:eastAsia="Times New Roman" w:hAnsi="Arial" w:cs="Arial"/>
                <w:b/>
                <w:color w:val="000000"/>
                <w:lang w:eastAsia="en-GB"/>
              </w:rPr>
            </w:pPr>
            <w:r w:rsidRPr="00416F0E">
              <w:rPr>
                <w:rFonts w:ascii="Arial" w:eastAsia="Times New Roman" w:hAnsi="Arial" w:cs="Arial"/>
                <w:b/>
                <w:color w:val="000000"/>
                <w:lang w:eastAsia="en-GB"/>
              </w:rPr>
              <w:t>16/17</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42FA54D" w14:textId="77777777" w:rsidR="008A1D58" w:rsidRPr="00416F0E" w:rsidRDefault="008A1D58" w:rsidP="00416F0E">
            <w:pPr>
              <w:spacing w:after="0" w:line="240" w:lineRule="auto"/>
              <w:jc w:val="right"/>
              <w:rPr>
                <w:rFonts w:ascii="Arial" w:eastAsia="Times New Roman" w:hAnsi="Arial" w:cs="Arial"/>
                <w:b/>
                <w:color w:val="000000"/>
                <w:lang w:eastAsia="en-GB"/>
              </w:rPr>
            </w:pPr>
            <w:r w:rsidRPr="00416F0E">
              <w:rPr>
                <w:rFonts w:ascii="Arial" w:eastAsia="Times New Roman" w:hAnsi="Arial" w:cs="Arial"/>
                <w:b/>
                <w:color w:val="000000"/>
                <w:lang w:eastAsia="en-GB"/>
              </w:rPr>
              <w:t>17/18</w:t>
            </w:r>
          </w:p>
        </w:tc>
        <w:tc>
          <w:tcPr>
            <w:tcW w:w="1340" w:type="dxa"/>
            <w:tcBorders>
              <w:top w:val="single" w:sz="4" w:space="0" w:color="auto"/>
              <w:left w:val="nil"/>
              <w:bottom w:val="single" w:sz="4" w:space="0" w:color="auto"/>
              <w:right w:val="single" w:sz="4" w:space="0" w:color="auto"/>
            </w:tcBorders>
          </w:tcPr>
          <w:p w14:paraId="4C4F0116" w14:textId="17208C17" w:rsidR="008A1D58" w:rsidRPr="00416F0E" w:rsidRDefault="008A1D58" w:rsidP="00416F0E">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18/19</w:t>
            </w:r>
          </w:p>
        </w:tc>
      </w:tr>
      <w:tr w:rsidR="008A1D58" w:rsidRPr="00416F0E" w14:paraId="0D2613B0" w14:textId="0DE99558" w:rsidTr="008A1D5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46EF029" w14:textId="77777777" w:rsidR="008A1D58" w:rsidRPr="00416F0E" w:rsidRDefault="008A1D58" w:rsidP="008A1D58">
            <w:pPr>
              <w:spacing w:after="0" w:line="240" w:lineRule="auto"/>
              <w:rPr>
                <w:rFonts w:ascii="Arial" w:eastAsia="Times New Roman" w:hAnsi="Arial" w:cs="Arial"/>
                <w:color w:val="000000"/>
                <w:lang w:eastAsia="en-GB"/>
              </w:rPr>
            </w:pPr>
            <w:r w:rsidRPr="00416F0E">
              <w:rPr>
                <w:rFonts w:ascii="Arial" w:eastAsia="Times New Roman" w:hAnsi="Arial" w:cs="Arial"/>
                <w:color w:val="000000"/>
                <w:lang w:eastAsia="en-GB"/>
              </w:rPr>
              <w:t>GP partners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B97E2C"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21,617</w:t>
            </w:r>
          </w:p>
        </w:tc>
        <w:tc>
          <w:tcPr>
            <w:tcW w:w="1210" w:type="dxa"/>
            <w:tcBorders>
              <w:top w:val="nil"/>
              <w:left w:val="nil"/>
              <w:bottom w:val="single" w:sz="4" w:space="0" w:color="auto"/>
              <w:right w:val="single" w:sz="4" w:space="0" w:color="auto"/>
            </w:tcBorders>
            <w:shd w:val="clear" w:color="auto" w:fill="auto"/>
            <w:noWrap/>
            <w:vAlign w:val="bottom"/>
            <w:hideMark/>
          </w:tcPr>
          <w:p w14:paraId="7C2A1CFF"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20,880</w:t>
            </w:r>
          </w:p>
        </w:tc>
        <w:tc>
          <w:tcPr>
            <w:tcW w:w="1340" w:type="dxa"/>
            <w:tcBorders>
              <w:top w:val="nil"/>
              <w:left w:val="nil"/>
              <w:bottom w:val="single" w:sz="4" w:space="0" w:color="auto"/>
              <w:right w:val="single" w:sz="4" w:space="0" w:color="auto"/>
            </w:tcBorders>
            <w:shd w:val="clear" w:color="auto" w:fill="auto"/>
            <w:noWrap/>
            <w:vAlign w:val="bottom"/>
            <w:hideMark/>
          </w:tcPr>
          <w:p w14:paraId="76A7599F"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20,008</w:t>
            </w:r>
          </w:p>
        </w:tc>
        <w:tc>
          <w:tcPr>
            <w:tcW w:w="1340" w:type="dxa"/>
            <w:tcBorders>
              <w:top w:val="nil"/>
              <w:left w:val="nil"/>
              <w:bottom w:val="single" w:sz="4" w:space="0" w:color="auto"/>
              <w:right w:val="single" w:sz="4" w:space="0" w:color="auto"/>
            </w:tcBorders>
          </w:tcPr>
          <w:p w14:paraId="5512F71B" w14:textId="1D181C73"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19,098</w:t>
            </w:r>
          </w:p>
        </w:tc>
      </w:tr>
      <w:tr w:rsidR="008A1D58" w:rsidRPr="00416F0E" w14:paraId="4F89CF68" w14:textId="539EB21B" w:rsidTr="008A1D5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8CE0236" w14:textId="77777777" w:rsidR="008A1D58" w:rsidRPr="00416F0E" w:rsidRDefault="008A1D58" w:rsidP="008A1D58">
            <w:pPr>
              <w:spacing w:after="0" w:line="240" w:lineRule="auto"/>
              <w:rPr>
                <w:rFonts w:ascii="Arial" w:eastAsia="Times New Roman" w:hAnsi="Arial" w:cs="Arial"/>
                <w:color w:val="000000"/>
                <w:lang w:eastAsia="en-GB"/>
              </w:rPr>
            </w:pPr>
            <w:r w:rsidRPr="00416F0E">
              <w:rPr>
                <w:rFonts w:ascii="Arial" w:eastAsia="Times New Roman" w:hAnsi="Arial" w:cs="Arial"/>
                <w:color w:val="000000"/>
                <w:lang w:eastAsia="en-GB"/>
              </w:rPr>
              <w:t>GP non-partners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51F70BC"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12,170</w:t>
            </w:r>
          </w:p>
        </w:tc>
        <w:tc>
          <w:tcPr>
            <w:tcW w:w="1210" w:type="dxa"/>
            <w:tcBorders>
              <w:top w:val="nil"/>
              <w:left w:val="nil"/>
              <w:bottom w:val="single" w:sz="4" w:space="0" w:color="auto"/>
              <w:right w:val="single" w:sz="4" w:space="0" w:color="auto"/>
            </w:tcBorders>
            <w:shd w:val="clear" w:color="auto" w:fill="auto"/>
            <w:noWrap/>
            <w:vAlign w:val="bottom"/>
            <w:hideMark/>
          </w:tcPr>
          <w:p w14:paraId="223484C3"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12,933</w:t>
            </w:r>
          </w:p>
        </w:tc>
        <w:tc>
          <w:tcPr>
            <w:tcW w:w="1340" w:type="dxa"/>
            <w:tcBorders>
              <w:top w:val="nil"/>
              <w:left w:val="nil"/>
              <w:bottom w:val="single" w:sz="4" w:space="0" w:color="auto"/>
              <w:right w:val="single" w:sz="4" w:space="0" w:color="auto"/>
            </w:tcBorders>
            <w:shd w:val="clear" w:color="auto" w:fill="auto"/>
            <w:noWrap/>
            <w:vAlign w:val="bottom"/>
            <w:hideMark/>
          </w:tcPr>
          <w:p w14:paraId="53D5E39D"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13,271</w:t>
            </w:r>
          </w:p>
        </w:tc>
        <w:tc>
          <w:tcPr>
            <w:tcW w:w="1340" w:type="dxa"/>
            <w:tcBorders>
              <w:top w:val="nil"/>
              <w:left w:val="nil"/>
              <w:bottom w:val="single" w:sz="4" w:space="0" w:color="auto"/>
              <w:right w:val="single" w:sz="4" w:space="0" w:color="auto"/>
            </w:tcBorders>
          </w:tcPr>
          <w:p w14:paraId="0A2393D9" w14:textId="410837A7"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14,276</w:t>
            </w:r>
          </w:p>
        </w:tc>
      </w:tr>
      <w:tr w:rsidR="008A1D58" w:rsidRPr="00416F0E" w14:paraId="42E64BAB" w14:textId="11EB9DBD" w:rsidTr="008A1D5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74E6ACA8" w14:textId="7E1791B0" w:rsidR="008A1D58" w:rsidRPr="00416F0E" w:rsidRDefault="008A1D58" w:rsidP="008A1D58">
            <w:pPr>
              <w:spacing w:after="0" w:line="240" w:lineRule="auto"/>
              <w:rPr>
                <w:rFonts w:ascii="Arial" w:eastAsia="Times New Roman" w:hAnsi="Arial" w:cs="Arial"/>
                <w:lang w:eastAsia="en-GB"/>
              </w:rPr>
            </w:pPr>
            <w:r w:rsidRPr="00416F0E">
              <w:rPr>
                <w:rFonts w:ascii="Arial" w:eastAsia="Times New Roman" w:hAnsi="Arial" w:cs="Arial"/>
                <w:lang w:eastAsia="en-GB"/>
              </w:rPr>
              <w:t>Nurses in GP Practices</w:t>
            </w:r>
            <w:r w:rsidRPr="00416F0E">
              <w:rPr>
                <w:rFonts w:ascii="Arial" w:eastAsia="Times New Roman" w:hAnsi="Arial" w:cs="Arial"/>
                <w:vertAlign w:val="superscript"/>
                <w:lang w:eastAsia="en-GB"/>
              </w:rPr>
              <w:t xml:space="preserve">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D760C11"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15,421</w:t>
            </w:r>
          </w:p>
        </w:tc>
        <w:tc>
          <w:tcPr>
            <w:tcW w:w="1210" w:type="dxa"/>
            <w:tcBorders>
              <w:top w:val="nil"/>
              <w:left w:val="nil"/>
              <w:bottom w:val="single" w:sz="4" w:space="0" w:color="auto"/>
              <w:right w:val="single" w:sz="4" w:space="0" w:color="auto"/>
            </w:tcBorders>
            <w:shd w:val="clear" w:color="auto" w:fill="auto"/>
            <w:noWrap/>
            <w:vAlign w:val="bottom"/>
            <w:hideMark/>
          </w:tcPr>
          <w:p w14:paraId="04B99BE1"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15,816</w:t>
            </w:r>
          </w:p>
        </w:tc>
        <w:tc>
          <w:tcPr>
            <w:tcW w:w="1340" w:type="dxa"/>
            <w:tcBorders>
              <w:top w:val="nil"/>
              <w:left w:val="nil"/>
              <w:bottom w:val="single" w:sz="4" w:space="0" w:color="auto"/>
              <w:right w:val="single" w:sz="4" w:space="0" w:color="auto"/>
            </w:tcBorders>
            <w:shd w:val="clear" w:color="auto" w:fill="auto"/>
            <w:noWrap/>
            <w:vAlign w:val="bottom"/>
            <w:hideMark/>
          </w:tcPr>
          <w:p w14:paraId="5F9DC6F3"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16,100</w:t>
            </w:r>
          </w:p>
        </w:tc>
        <w:tc>
          <w:tcPr>
            <w:tcW w:w="1340" w:type="dxa"/>
            <w:tcBorders>
              <w:top w:val="nil"/>
              <w:left w:val="nil"/>
              <w:bottom w:val="single" w:sz="4" w:space="0" w:color="auto"/>
              <w:right w:val="single" w:sz="4" w:space="0" w:color="auto"/>
            </w:tcBorders>
          </w:tcPr>
          <w:p w14:paraId="170F0E17" w14:textId="734BD8C5"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16,379</w:t>
            </w:r>
          </w:p>
        </w:tc>
      </w:tr>
      <w:tr w:rsidR="008A1D58" w:rsidRPr="00416F0E" w14:paraId="214041D9" w14:textId="379C4533" w:rsidTr="008A1D5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17F1AE79" w14:textId="6C98BAF4" w:rsidR="008A1D58" w:rsidRPr="00416F0E" w:rsidRDefault="008A1D58" w:rsidP="008A1D58">
            <w:pPr>
              <w:spacing w:after="0" w:line="240" w:lineRule="auto"/>
              <w:rPr>
                <w:rFonts w:ascii="Arial" w:eastAsia="Times New Roman" w:hAnsi="Arial" w:cs="Arial"/>
                <w:lang w:eastAsia="en-GB"/>
              </w:rPr>
            </w:pPr>
            <w:r w:rsidRPr="00416F0E">
              <w:rPr>
                <w:rFonts w:ascii="Arial" w:eastAsia="Times New Roman" w:hAnsi="Arial" w:cs="Arial"/>
                <w:lang w:eastAsia="en-GB"/>
              </w:rPr>
              <w:t>GP Direct Patient Care</w:t>
            </w:r>
            <w:r>
              <w:rPr>
                <w:rFonts w:ascii="Arial" w:eastAsia="Times New Roman" w:hAnsi="Arial" w:cs="Arial"/>
                <w:lang w:eastAsia="en-GB"/>
              </w:rPr>
              <w:t xml:space="preserve"> s</w:t>
            </w:r>
            <w:r w:rsidRPr="00416F0E">
              <w:rPr>
                <w:rFonts w:ascii="Arial" w:eastAsia="Times New Roman" w:hAnsi="Arial" w:cs="Arial"/>
                <w:lang w:eastAsia="en-GB"/>
              </w:rPr>
              <w:t>taff</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347B55"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11,105</w:t>
            </w:r>
          </w:p>
        </w:tc>
        <w:tc>
          <w:tcPr>
            <w:tcW w:w="1210" w:type="dxa"/>
            <w:tcBorders>
              <w:top w:val="nil"/>
              <w:left w:val="nil"/>
              <w:bottom w:val="single" w:sz="4" w:space="0" w:color="auto"/>
              <w:right w:val="single" w:sz="4" w:space="0" w:color="auto"/>
            </w:tcBorders>
            <w:shd w:val="clear" w:color="auto" w:fill="auto"/>
            <w:noWrap/>
            <w:vAlign w:val="bottom"/>
            <w:hideMark/>
          </w:tcPr>
          <w:p w14:paraId="536C2C04"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11,689</w:t>
            </w:r>
          </w:p>
        </w:tc>
        <w:tc>
          <w:tcPr>
            <w:tcW w:w="1340" w:type="dxa"/>
            <w:tcBorders>
              <w:top w:val="nil"/>
              <w:left w:val="nil"/>
              <w:bottom w:val="single" w:sz="4" w:space="0" w:color="auto"/>
              <w:right w:val="single" w:sz="4" w:space="0" w:color="auto"/>
            </w:tcBorders>
            <w:shd w:val="clear" w:color="auto" w:fill="auto"/>
            <w:noWrap/>
            <w:vAlign w:val="bottom"/>
            <w:hideMark/>
          </w:tcPr>
          <w:p w14:paraId="77E181DF"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12,093</w:t>
            </w:r>
          </w:p>
        </w:tc>
        <w:tc>
          <w:tcPr>
            <w:tcW w:w="1340" w:type="dxa"/>
            <w:tcBorders>
              <w:top w:val="nil"/>
              <w:left w:val="nil"/>
              <w:bottom w:val="single" w:sz="4" w:space="0" w:color="auto"/>
              <w:right w:val="single" w:sz="4" w:space="0" w:color="auto"/>
            </w:tcBorders>
          </w:tcPr>
          <w:p w14:paraId="01177BE4" w14:textId="3FC7F0A8"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12,766</w:t>
            </w:r>
          </w:p>
        </w:tc>
      </w:tr>
      <w:tr w:rsidR="008A1D58" w:rsidRPr="00416F0E" w14:paraId="31427E4D" w14:textId="7CF87C71" w:rsidTr="008A1D58">
        <w:trPr>
          <w:trHeight w:val="300"/>
          <w:jc w:val="center"/>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392AE2CC" w14:textId="4BD3ECA3" w:rsidR="008A1D58" w:rsidRPr="00416F0E" w:rsidRDefault="008A1D58" w:rsidP="008A1D58">
            <w:pPr>
              <w:spacing w:after="0" w:line="240" w:lineRule="auto"/>
              <w:rPr>
                <w:rFonts w:ascii="Arial" w:eastAsia="Times New Roman" w:hAnsi="Arial" w:cs="Arial"/>
                <w:lang w:eastAsia="en-GB"/>
              </w:rPr>
            </w:pPr>
            <w:r w:rsidRPr="00416F0E">
              <w:rPr>
                <w:rFonts w:ascii="Arial" w:eastAsia="Times New Roman" w:hAnsi="Arial" w:cs="Arial"/>
                <w:lang w:eastAsia="en-GB"/>
              </w:rPr>
              <w:t>GP Admin/Non-Clinical staff</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64CF39"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63,915</w:t>
            </w:r>
          </w:p>
        </w:tc>
        <w:tc>
          <w:tcPr>
            <w:tcW w:w="1210" w:type="dxa"/>
            <w:tcBorders>
              <w:top w:val="nil"/>
              <w:left w:val="nil"/>
              <w:bottom w:val="single" w:sz="4" w:space="0" w:color="auto"/>
              <w:right w:val="single" w:sz="4" w:space="0" w:color="auto"/>
            </w:tcBorders>
            <w:shd w:val="clear" w:color="auto" w:fill="auto"/>
            <w:noWrap/>
            <w:vAlign w:val="bottom"/>
            <w:hideMark/>
          </w:tcPr>
          <w:p w14:paraId="406E82A4"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65,220</w:t>
            </w:r>
          </w:p>
        </w:tc>
        <w:tc>
          <w:tcPr>
            <w:tcW w:w="1340" w:type="dxa"/>
            <w:tcBorders>
              <w:top w:val="nil"/>
              <w:left w:val="nil"/>
              <w:bottom w:val="single" w:sz="4" w:space="0" w:color="auto"/>
              <w:right w:val="single" w:sz="4" w:space="0" w:color="auto"/>
            </w:tcBorders>
            <w:shd w:val="clear" w:color="auto" w:fill="auto"/>
            <w:noWrap/>
            <w:vAlign w:val="bottom"/>
            <w:hideMark/>
          </w:tcPr>
          <w:p w14:paraId="6A96AB9C" w14:textId="77777777" w:rsidR="008A1D58" w:rsidRPr="00416F0E" w:rsidRDefault="008A1D58" w:rsidP="008A1D58">
            <w:pPr>
              <w:spacing w:after="0" w:line="240" w:lineRule="auto"/>
              <w:jc w:val="right"/>
              <w:rPr>
                <w:rFonts w:ascii="Arial" w:eastAsia="Times New Roman" w:hAnsi="Arial" w:cs="Arial"/>
                <w:color w:val="000000"/>
                <w:lang w:eastAsia="en-GB"/>
              </w:rPr>
            </w:pPr>
            <w:r w:rsidRPr="00416F0E">
              <w:rPr>
                <w:rFonts w:ascii="Arial" w:eastAsia="Times New Roman" w:hAnsi="Arial" w:cs="Arial"/>
                <w:color w:val="000000"/>
                <w:lang w:eastAsia="en-GB"/>
              </w:rPr>
              <w:t>65,134</w:t>
            </w:r>
          </w:p>
        </w:tc>
        <w:tc>
          <w:tcPr>
            <w:tcW w:w="1340" w:type="dxa"/>
            <w:tcBorders>
              <w:top w:val="nil"/>
              <w:left w:val="nil"/>
              <w:bottom w:val="single" w:sz="4" w:space="0" w:color="auto"/>
              <w:right w:val="single" w:sz="4" w:space="0" w:color="auto"/>
            </w:tcBorders>
          </w:tcPr>
          <w:p w14:paraId="63CAF81B" w14:textId="746836DE"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66,582</w:t>
            </w:r>
          </w:p>
        </w:tc>
      </w:tr>
    </w:tbl>
    <w:p w14:paraId="72AFA179" w14:textId="20DB95F7" w:rsidR="00B765A5" w:rsidRDefault="0088429A" w:rsidP="00BD6196">
      <w:pPr>
        <w:spacing w:line="276" w:lineRule="auto"/>
        <w:ind w:left="360"/>
        <w:rPr>
          <w:rFonts w:ascii="Arial" w:hAnsi="Arial" w:cs="Arial"/>
          <w:sz w:val="24"/>
        </w:rPr>
      </w:pPr>
      <w:r w:rsidRPr="00BD6196">
        <w:rPr>
          <w:rFonts w:ascii="Arial" w:hAnsi="Arial" w:cs="Arial"/>
          <w:sz w:val="20"/>
        </w:rPr>
        <w:t>N</w:t>
      </w:r>
      <w:r w:rsidR="00B765A5" w:rsidRPr="00BD6196">
        <w:rPr>
          <w:rFonts w:ascii="Arial" w:hAnsi="Arial" w:cs="Arial"/>
          <w:sz w:val="20"/>
        </w:rPr>
        <w:t>ote: Annual figures are averages of the Sept and Mar data for that year.</w:t>
      </w:r>
      <w:r w:rsidR="008A1D58">
        <w:rPr>
          <w:rFonts w:ascii="Arial" w:hAnsi="Arial" w:cs="Arial"/>
          <w:sz w:val="20"/>
        </w:rPr>
        <w:t xml:space="preserve"> </w:t>
      </w:r>
      <w:r w:rsidR="006A1657">
        <w:rPr>
          <w:rFonts w:ascii="Arial" w:hAnsi="Arial" w:cs="Arial"/>
          <w:sz w:val="20"/>
        </w:rPr>
        <w:t>GP figure</w:t>
      </w:r>
      <w:r w:rsidR="00416F0E">
        <w:rPr>
          <w:rFonts w:ascii="Arial" w:hAnsi="Arial" w:cs="Arial"/>
          <w:sz w:val="20"/>
        </w:rPr>
        <w:t>s</w:t>
      </w:r>
      <w:r w:rsidR="006A1657">
        <w:rPr>
          <w:rFonts w:ascii="Arial" w:hAnsi="Arial" w:cs="Arial"/>
          <w:sz w:val="20"/>
        </w:rPr>
        <w:t xml:space="preserve"> exclude</w:t>
      </w:r>
      <w:r w:rsidR="008A1D58">
        <w:rPr>
          <w:rFonts w:ascii="Arial" w:hAnsi="Arial" w:cs="Arial"/>
          <w:sz w:val="20"/>
        </w:rPr>
        <w:t xml:space="preserve"> </w:t>
      </w:r>
      <w:r w:rsidR="006A1657">
        <w:rPr>
          <w:rFonts w:ascii="Arial" w:hAnsi="Arial" w:cs="Arial"/>
          <w:sz w:val="20"/>
        </w:rPr>
        <w:t xml:space="preserve">locums. </w:t>
      </w:r>
      <w:r w:rsidR="00B765A5" w:rsidRPr="00BD6196">
        <w:rPr>
          <w:rFonts w:ascii="Arial" w:hAnsi="Arial" w:cs="Arial"/>
          <w:sz w:val="20"/>
        </w:rPr>
        <w:t xml:space="preserve">Source: </w:t>
      </w:r>
      <w:hyperlink r:id="rId15" w:history="1">
        <w:r w:rsidR="00B765A5" w:rsidRPr="00BD6196">
          <w:rPr>
            <w:rStyle w:val="Hyperlink"/>
            <w:rFonts w:ascii="Arial" w:hAnsi="Arial" w:cs="Arial"/>
            <w:sz w:val="20"/>
          </w:rPr>
          <w:t>Healthcare Workforce Statistics</w:t>
        </w:r>
      </w:hyperlink>
      <w:r w:rsidR="00B765A5" w:rsidRPr="00BD6196">
        <w:rPr>
          <w:rFonts w:ascii="Arial" w:hAnsi="Arial" w:cs="Arial"/>
          <w:sz w:val="24"/>
        </w:rPr>
        <w:t xml:space="preserve">. </w:t>
      </w:r>
    </w:p>
    <w:p w14:paraId="0DF8790E" w14:textId="77777777" w:rsidR="00A001EA" w:rsidRDefault="00A001EA" w:rsidP="00BD6196">
      <w:pPr>
        <w:spacing w:after="0" w:line="276" w:lineRule="auto"/>
        <w:jc w:val="center"/>
        <w:rPr>
          <w:rFonts w:ascii="Arial" w:hAnsi="Arial" w:cs="Arial"/>
          <w:sz w:val="24"/>
          <w:u w:val="single"/>
        </w:rPr>
      </w:pPr>
    </w:p>
    <w:p w14:paraId="3F249859" w14:textId="6D87CE0B" w:rsidR="00BD6196" w:rsidRPr="00BD6196" w:rsidRDefault="00BD6196" w:rsidP="00BD6196">
      <w:pPr>
        <w:spacing w:after="0" w:line="276" w:lineRule="auto"/>
        <w:jc w:val="center"/>
        <w:rPr>
          <w:rFonts w:ascii="Arial" w:hAnsi="Arial" w:cs="Arial"/>
          <w:sz w:val="24"/>
          <w:u w:val="single"/>
        </w:rPr>
      </w:pPr>
      <w:r w:rsidRPr="00BD6196">
        <w:rPr>
          <w:rFonts w:ascii="Arial" w:hAnsi="Arial" w:cs="Arial"/>
          <w:sz w:val="24"/>
          <w:u w:val="single"/>
        </w:rPr>
        <w:t xml:space="preserve">Table </w:t>
      </w:r>
      <w:r>
        <w:rPr>
          <w:rFonts w:ascii="Arial" w:hAnsi="Arial" w:cs="Arial"/>
          <w:sz w:val="24"/>
          <w:u w:val="single"/>
        </w:rPr>
        <w:t>5</w:t>
      </w:r>
      <w:r w:rsidRPr="00BD6196">
        <w:rPr>
          <w:rFonts w:ascii="Arial" w:hAnsi="Arial" w:cs="Arial"/>
          <w:sz w:val="24"/>
          <w:u w:val="single"/>
        </w:rPr>
        <w:t xml:space="preserve">: General Practice </w:t>
      </w:r>
      <w:r>
        <w:rPr>
          <w:rFonts w:ascii="Arial" w:hAnsi="Arial" w:cs="Arial"/>
          <w:sz w:val="24"/>
          <w:u w:val="single"/>
        </w:rPr>
        <w:t>staff earnings</w:t>
      </w:r>
      <w:r w:rsidR="008A1D58">
        <w:rPr>
          <w:rFonts w:ascii="Arial" w:hAnsi="Arial" w:cs="Arial"/>
          <w:sz w:val="24"/>
          <w:u w:val="single"/>
        </w:rPr>
        <w:t xml:space="preserve"> £</w:t>
      </w:r>
    </w:p>
    <w:tbl>
      <w:tblPr>
        <w:tblW w:w="9209" w:type="dxa"/>
        <w:jc w:val="center"/>
        <w:tblLook w:val="04A0" w:firstRow="1" w:lastRow="0" w:firstColumn="1" w:lastColumn="0" w:noHBand="0" w:noVBand="1"/>
      </w:tblPr>
      <w:tblGrid>
        <w:gridCol w:w="3011"/>
        <w:gridCol w:w="1112"/>
        <w:gridCol w:w="1301"/>
        <w:gridCol w:w="1301"/>
        <w:gridCol w:w="1301"/>
        <w:gridCol w:w="1183"/>
      </w:tblGrid>
      <w:tr w:rsidR="008A1D58" w:rsidRPr="00DF233E" w14:paraId="59F696A9" w14:textId="4D50A4EB" w:rsidTr="008A1D58">
        <w:trPr>
          <w:trHeight w:val="263"/>
          <w:jc w:val="center"/>
        </w:trPr>
        <w:tc>
          <w:tcPr>
            <w:tcW w:w="3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AE7D" w14:textId="77777777" w:rsidR="008A1D58" w:rsidRPr="00DF233E" w:rsidRDefault="008A1D58" w:rsidP="00DF233E">
            <w:pPr>
              <w:spacing w:after="0" w:line="240" w:lineRule="auto"/>
              <w:rPr>
                <w:rFonts w:ascii="Arial" w:eastAsia="Times New Roman" w:hAnsi="Arial" w:cs="Arial"/>
                <w:color w:val="000000"/>
                <w:lang w:eastAsia="en-GB"/>
              </w:rPr>
            </w:pPr>
            <w:r w:rsidRPr="00DF233E">
              <w:rPr>
                <w:rFonts w:ascii="Arial" w:eastAsia="Times New Roman" w:hAnsi="Arial" w:cs="Arial"/>
                <w:color w:val="000000"/>
                <w:lang w:eastAsia="en-GB"/>
              </w:rPr>
              <w:t> </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14:paraId="6C339F1D" w14:textId="77777777" w:rsidR="008A1D58" w:rsidRPr="008A1D58" w:rsidRDefault="008A1D58" w:rsidP="00DF233E">
            <w:pPr>
              <w:spacing w:after="0" w:line="240" w:lineRule="auto"/>
              <w:jc w:val="right"/>
              <w:rPr>
                <w:rFonts w:ascii="Arial" w:eastAsia="Times New Roman" w:hAnsi="Arial" w:cs="Arial"/>
                <w:b/>
                <w:color w:val="000000"/>
                <w:lang w:eastAsia="en-GB"/>
              </w:rPr>
            </w:pPr>
            <w:r w:rsidRPr="008A1D58">
              <w:rPr>
                <w:rFonts w:ascii="Arial" w:eastAsia="Times New Roman" w:hAnsi="Arial" w:cs="Arial"/>
                <w:b/>
                <w:color w:val="000000"/>
                <w:lang w:eastAsia="en-GB"/>
              </w:rPr>
              <w:t>14/15</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136C1419" w14:textId="77777777" w:rsidR="008A1D58" w:rsidRPr="008A1D58" w:rsidRDefault="008A1D58" w:rsidP="00DF233E">
            <w:pPr>
              <w:spacing w:after="0" w:line="240" w:lineRule="auto"/>
              <w:jc w:val="right"/>
              <w:rPr>
                <w:rFonts w:ascii="Arial" w:eastAsia="Times New Roman" w:hAnsi="Arial" w:cs="Arial"/>
                <w:b/>
                <w:color w:val="000000"/>
                <w:lang w:eastAsia="en-GB"/>
              </w:rPr>
            </w:pPr>
            <w:r w:rsidRPr="008A1D58">
              <w:rPr>
                <w:rFonts w:ascii="Arial" w:eastAsia="Times New Roman" w:hAnsi="Arial" w:cs="Arial"/>
                <w:b/>
                <w:color w:val="000000"/>
                <w:lang w:eastAsia="en-GB"/>
              </w:rPr>
              <w:t>15/16</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344BCC23" w14:textId="77777777" w:rsidR="008A1D58" w:rsidRPr="008A1D58" w:rsidRDefault="008A1D58" w:rsidP="00DF233E">
            <w:pPr>
              <w:spacing w:after="0" w:line="240" w:lineRule="auto"/>
              <w:jc w:val="right"/>
              <w:rPr>
                <w:rFonts w:ascii="Arial" w:eastAsia="Times New Roman" w:hAnsi="Arial" w:cs="Arial"/>
                <w:b/>
                <w:color w:val="000000"/>
                <w:lang w:eastAsia="en-GB"/>
              </w:rPr>
            </w:pPr>
            <w:r w:rsidRPr="008A1D58">
              <w:rPr>
                <w:rFonts w:ascii="Arial" w:eastAsia="Times New Roman" w:hAnsi="Arial" w:cs="Arial"/>
                <w:b/>
                <w:color w:val="000000"/>
                <w:lang w:eastAsia="en-GB"/>
              </w:rPr>
              <w:t>16/17</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5AE33860" w14:textId="77777777" w:rsidR="008A1D58" w:rsidRPr="008A1D58" w:rsidRDefault="008A1D58" w:rsidP="00DF233E">
            <w:pPr>
              <w:spacing w:after="0" w:line="240" w:lineRule="auto"/>
              <w:jc w:val="right"/>
              <w:rPr>
                <w:rFonts w:ascii="Arial" w:eastAsia="Times New Roman" w:hAnsi="Arial" w:cs="Arial"/>
                <w:b/>
                <w:color w:val="000000"/>
                <w:lang w:eastAsia="en-GB"/>
              </w:rPr>
            </w:pPr>
            <w:r w:rsidRPr="008A1D58">
              <w:rPr>
                <w:rFonts w:ascii="Arial" w:eastAsia="Times New Roman" w:hAnsi="Arial" w:cs="Arial"/>
                <w:b/>
                <w:color w:val="000000"/>
                <w:lang w:eastAsia="en-GB"/>
              </w:rPr>
              <w:t>17/18</w:t>
            </w:r>
          </w:p>
        </w:tc>
        <w:tc>
          <w:tcPr>
            <w:tcW w:w="1183" w:type="dxa"/>
            <w:tcBorders>
              <w:top w:val="single" w:sz="4" w:space="0" w:color="auto"/>
              <w:left w:val="nil"/>
              <w:bottom w:val="single" w:sz="4" w:space="0" w:color="auto"/>
              <w:right w:val="single" w:sz="4" w:space="0" w:color="auto"/>
            </w:tcBorders>
          </w:tcPr>
          <w:p w14:paraId="29D39DB8" w14:textId="5E6599E9" w:rsidR="008A1D58" w:rsidRPr="008A1D58" w:rsidRDefault="008A1D58" w:rsidP="00DF233E">
            <w:pPr>
              <w:spacing w:after="0" w:line="240" w:lineRule="auto"/>
              <w:jc w:val="right"/>
              <w:rPr>
                <w:rFonts w:ascii="Arial" w:eastAsia="Times New Roman" w:hAnsi="Arial" w:cs="Arial"/>
                <w:b/>
                <w:color w:val="000000"/>
                <w:lang w:eastAsia="en-GB"/>
              </w:rPr>
            </w:pPr>
            <w:r>
              <w:rPr>
                <w:rFonts w:ascii="Arial" w:eastAsia="Times New Roman" w:hAnsi="Arial" w:cs="Arial"/>
                <w:b/>
                <w:color w:val="000000"/>
                <w:lang w:eastAsia="en-GB"/>
              </w:rPr>
              <w:t>18/19</w:t>
            </w:r>
          </w:p>
        </w:tc>
      </w:tr>
      <w:tr w:rsidR="008A1D58" w:rsidRPr="00DF233E" w14:paraId="64EAC221" w14:textId="36566739" w:rsidTr="008A1D58">
        <w:trPr>
          <w:trHeight w:val="263"/>
          <w:jc w:val="center"/>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63FEBECA" w14:textId="77777777" w:rsidR="008A1D58" w:rsidRPr="00DF233E" w:rsidRDefault="008A1D58" w:rsidP="008A1D58">
            <w:pPr>
              <w:spacing w:after="0" w:line="240" w:lineRule="auto"/>
              <w:rPr>
                <w:rFonts w:ascii="Arial" w:eastAsia="Times New Roman" w:hAnsi="Arial" w:cs="Arial"/>
                <w:color w:val="000000"/>
                <w:lang w:eastAsia="en-GB"/>
              </w:rPr>
            </w:pPr>
            <w:r w:rsidRPr="00DF233E">
              <w:rPr>
                <w:rFonts w:ascii="Arial" w:eastAsia="Times New Roman" w:hAnsi="Arial" w:cs="Arial"/>
                <w:color w:val="000000"/>
                <w:lang w:eastAsia="en-GB"/>
              </w:rPr>
              <w:t>GP partners</w:t>
            </w:r>
          </w:p>
        </w:tc>
        <w:tc>
          <w:tcPr>
            <w:tcW w:w="1112" w:type="dxa"/>
            <w:tcBorders>
              <w:top w:val="nil"/>
              <w:left w:val="nil"/>
              <w:bottom w:val="single" w:sz="4" w:space="0" w:color="auto"/>
              <w:right w:val="single" w:sz="4" w:space="0" w:color="auto"/>
            </w:tcBorders>
            <w:shd w:val="clear" w:color="auto" w:fill="auto"/>
            <w:noWrap/>
            <w:vAlign w:val="bottom"/>
            <w:hideMark/>
          </w:tcPr>
          <w:p w14:paraId="3EEA2CB7" w14:textId="0D0F5082"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121,466</w:t>
            </w:r>
          </w:p>
        </w:tc>
        <w:tc>
          <w:tcPr>
            <w:tcW w:w="1301" w:type="dxa"/>
            <w:tcBorders>
              <w:top w:val="nil"/>
              <w:left w:val="nil"/>
              <w:bottom w:val="single" w:sz="4" w:space="0" w:color="auto"/>
              <w:right w:val="single" w:sz="4" w:space="0" w:color="auto"/>
            </w:tcBorders>
            <w:shd w:val="clear" w:color="auto" w:fill="auto"/>
            <w:noWrap/>
            <w:vAlign w:val="bottom"/>
            <w:hideMark/>
          </w:tcPr>
          <w:p w14:paraId="38C24072" w14:textId="208B84EB"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122,753</w:t>
            </w:r>
          </w:p>
        </w:tc>
        <w:tc>
          <w:tcPr>
            <w:tcW w:w="1301" w:type="dxa"/>
            <w:tcBorders>
              <w:top w:val="nil"/>
              <w:left w:val="nil"/>
              <w:bottom w:val="single" w:sz="4" w:space="0" w:color="auto"/>
              <w:right w:val="single" w:sz="4" w:space="0" w:color="auto"/>
            </w:tcBorders>
            <w:shd w:val="clear" w:color="auto" w:fill="auto"/>
            <w:noWrap/>
            <w:vAlign w:val="bottom"/>
            <w:hideMark/>
          </w:tcPr>
          <w:p w14:paraId="0F2F38B3" w14:textId="2376F687"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128,253</w:t>
            </w:r>
          </w:p>
        </w:tc>
        <w:tc>
          <w:tcPr>
            <w:tcW w:w="1301" w:type="dxa"/>
            <w:tcBorders>
              <w:top w:val="nil"/>
              <w:left w:val="nil"/>
              <w:bottom w:val="single" w:sz="4" w:space="0" w:color="auto"/>
              <w:right w:val="single" w:sz="4" w:space="0" w:color="auto"/>
            </w:tcBorders>
            <w:shd w:val="clear" w:color="auto" w:fill="auto"/>
            <w:noWrap/>
            <w:vAlign w:val="bottom"/>
            <w:hideMark/>
          </w:tcPr>
          <w:p w14:paraId="219ED1FE" w14:textId="66395996"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132,700</w:t>
            </w:r>
          </w:p>
        </w:tc>
        <w:tc>
          <w:tcPr>
            <w:tcW w:w="1183" w:type="dxa"/>
            <w:tcBorders>
              <w:top w:val="nil"/>
              <w:left w:val="nil"/>
              <w:bottom w:val="single" w:sz="4" w:space="0" w:color="auto"/>
              <w:right w:val="single" w:sz="4" w:space="0" w:color="auto"/>
            </w:tcBorders>
          </w:tcPr>
          <w:p w14:paraId="2BC2C535" w14:textId="622296A0"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136,891</w:t>
            </w:r>
          </w:p>
        </w:tc>
      </w:tr>
      <w:tr w:rsidR="008A1D58" w:rsidRPr="00DF233E" w14:paraId="14E86EFB" w14:textId="6A145160" w:rsidTr="008A1D58">
        <w:trPr>
          <w:trHeight w:val="263"/>
          <w:jc w:val="center"/>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1D26696C" w14:textId="77777777" w:rsidR="008A1D58" w:rsidRPr="00DF233E" w:rsidRDefault="008A1D58" w:rsidP="008A1D58">
            <w:pPr>
              <w:spacing w:after="0" w:line="240" w:lineRule="auto"/>
              <w:rPr>
                <w:rFonts w:ascii="Arial" w:eastAsia="Times New Roman" w:hAnsi="Arial" w:cs="Arial"/>
                <w:color w:val="000000"/>
                <w:lang w:eastAsia="en-GB"/>
              </w:rPr>
            </w:pPr>
            <w:r w:rsidRPr="00DF233E">
              <w:rPr>
                <w:rFonts w:ascii="Arial" w:eastAsia="Times New Roman" w:hAnsi="Arial" w:cs="Arial"/>
                <w:color w:val="000000"/>
                <w:lang w:eastAsia="en-GB"/>
              </w:rPr>
              <w:t>GP non-partners</w:t>
            </w:r>
          </w:p>
        </w:tc>
        <w:tc>
          <w:tcPr>
            <w:tcW w:w="1112" w:type="dxa"/>
            <w:tcBorders>
              <w:top w:val="nil"/>
              <w:left w:val="nil"/>
              <w:bottom w:val="single" w:sz="4" w:space="0" w:color="auto"/>
              <w:right w:val="single" w:sz="4" w:space="0" w:color="auto"/>
            </w:tcBorders>
            <w:shd w:val="clear" w:color="auto" w:fill="auto"/>
            <w:noWrap/>
            <w:vAlign w:val="bottom"/>
            <w:hideMark/>
          </w:tcPr>
          <w:p w14:paraId="65A70A41" w14:textId="1F903F4E"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74,370</w:t>
            </w:r>
          </w:p>
        </w:tc>
        <w:tc>
          <w:tcPr>
            <w:tcW w:w="1301" w:type="dxa"/>
            <w:tcBorders>
              <w:top w:val="nil"/>
              <w:left w:val="nil"/>
              <w:bottom w:val="single" w:sz="4" w:space="0" w:color="auto"/>
              <w:right w:val="single" w:sz="4" w:space="0" w:color="auto"/>
            </w:tcBorders>
            <w:shd w:val="clear" w:color="auto" w:fill="auto"/>
            <w:noWrap/>
            <w:vAlign w:val="bottom"/>
            <w:hideMark/>
          </w:tcPr>
          <w:p w14:paraId="54415E64" w14:textId="013D1CEE"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73,321</w:t>
            </w:r>
          </w:p>
        </w:tc>
        <w:tc>
          <w:tcPr>
            <w:tcW w:w="1301" w:type="dxa"/>
            <w:tcBorders>
              <w:top w:val="nil"/>
              <w:left w:val="nil"/>
              <w:bottom w:val="single" w:sz="4" w:space="0" w:color="auto"/>
              <w:right w:val="single" w:sz="4" w:space="0" w:color="auto"/>
            </w:tcBorders>
            <w:shd w:val="clear" w:color="auto" w:fill="auto"/>
            <w:noWrap/>
            <w:vAlign w:val="bottom"/>
            <w:hideMark/>
          </w:tcPr>
          <w:p w14:paraId="6ACF090D" w14:textId="25DC5F24"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74,239</w:t>
            </w:r>
          </w:p>
        </w:tc>
        <w:tc>
          <w:tcPr>
            <w:tcW w:w="1301" w:type="dxa"/>
            <w:tcBorders>
              <w:top w:val="nil"/>
              <w:left w:val="nil"/>
              <w:bottom w:val="single" w:sz="4" w:space="0" w:color="auto"/>
              <w:right w:val="single" w:sz="4" w:space="0" w:color="auto"/>
            </w:tcBorders>
            <w:shd w:val="clear" w:color="auto" w:fill="auto"/>
            <w:noWrap/>
            <w:vAlign w:val="bottom"/>
            <w:hideMark/>
          </w:tcPr>
          <w:p w14:paraId="239B390D" w14:textId="412EBA44"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76,600</w:t>
            </w:r>
          </w:p>
        </w:tc>
        <w:tc>
          <w:tcPr>
            <w:tcW w:w="1183" w:type="dxa"/>
            <w:tcBorders>
              <w:top w:val="nil"/>
              <w:left w:val="nil"/>
              <w:bottom w:val="single" w:sz="4" w:space="0" w:color="auto"/>
              <w:right w:val="single" w:sz="4" w:space="0" w:color="auto"/>
            </w:tcBorders>
          </w:tcPr>
          <w:p w14:paraId="2882C8E3" w14:textId="63F9690A"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79,019</w:t>
            </w:r>
          </w:p>
        </w:tc>
      </w:tr>
      <w:tr w:rsidR="008A1D58" w:rsidRPr="00DF233E" w14:paraId="73828900" w14:textId="3C616D5A" w:rsidTr="008A1D58">
        <w:trPr>
          <w:trHeight w:val="263"/>
          <w:jc w:val="center"/>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3F6630F" w14:textId="0E2882E8" w:rsidR="008A1D58" w:rsidRPr="00DF233E" w:rsidRDefault="008A1D58" w:rsidP="008A1D58">
            <w:pPr>
              <w:spacing w:after="0" w:line="240" w:lineRule="auto"/>
              <w:rPr>
                <w:rFonts w:ascii="Arial" w:eastAsia="Times New Roman" w:hAnsi="Arial" w:cs="Arial"/>
                <w:lang w:eastAsia="en-GB"/>
              </w:rPr>
            </w:pPr>
            <w:r w:rsidRPr="00DF233E">
              <w:rPr>
                <w:rFonts w:ascii="Arial" w:eastAsia="Times New Roman" w:hAnsi="Arial" w:cs="Arial"/>
                <w:lang w:eastAsia="en-GB"/>
              </w:rPr>
              <w:t>Nurses in GP Practices</w:t>
            </w:r>
          </w:p>
        </w:tc>
        <w:tc>
          <w:tcPr>
            <w:tcW w:w="1112" w:type="dxa"/>
            <w:tcBorders>
              <w:top w:val="nil"/>
              <w:left w:val="nil"/>
              <w:bottom w:val="single" w:sz="4" w:space="0" w:color="auto"/>
              <w:right w:val="single" w:sz="4" w:space="0" w:color="auto"/>
            </w:tcBorders>
            <w:shd w:val="clear" w:color="auto" w:fill="auto"/>
            <w:noWrap/>
            <w:vAlign w:val="bottom"/>
            <w:hideMark/>
          </w:tcPr>
          <w:p w14:paraId="0E43020E" w14:textId="7BD95006"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30,485</w:t>
            </w:r>
          </w:p>
        </w:tc>
        <w:tc>
          <w:tcPr>
            <w:tcW w:w="1301" w:type="dxa"/>
            <w:tcBorders>
              <w:top w:val="nil"/>
              <w:left w:val="nil"/>
              <w:bottom w:val="single" w:sz="4" w:space="0" w:color="auto"/>
              <w:right w:val="single" w:sz="4" w:space="0" w:color="auto"/>
            </w:tcBorders>
            <w:shd w:val="clear" w:color="auto" w:fill="auto"/>
            <w:noWrap/>
            <w:vAlign w:val="bottom"/>
            <w:hideMark/>
          </w:tcPr>
          <w:p w14:paraId="3BB29121" w14:textId="5351B943"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30,778</w:t>
            </w:r>
          </w:p>
        </w:tc>
        <w:tc>
          <w:tcPr>
            <w:tcW w:w="1301" w:type="dxa"/>
            <w:tcBorders>
              <w:top w:val="nil"/>
              <w:left w:val="nil"/>
              <w:bottom w:val="single" w:sz="4" w:space="0" w:color="auto"/>
              <w:right w:val="single" w:sz="4" w:space="0" w:color="auto"/>
            </w:tcBorders>
            <w:shd w:val="clear" w:color="auto" w:fill="auto"/>
            <w:noWrap/>
            <w:vAlign w:val="bottom"/>
            <w:hideMark/>
          </w:tcPr>
          <w:p w14:paraId="4C7661C0" w14:textId="123AABDB"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31,090</w:t>
            </w:r>
          </w:p>
        </w:tc>
        <w:tc>
          <w:tcPr>
            <w:tcW w:w="1301" w:type="dxa"/>
            <w:tcBorders>
              <w:top w:val="nil"/>
              <w:left w:val="nil"/>
              <w:bottom w:val="single" w:sz="4" w:space="0" w:color="auto"/>
              <w:right w:val="single" w:sz="4" w:space="0" w:color="auto"/>
            </w:tcBorders>
            <w:shd w:val="clear" w:color="auto" w:fill="auto"/>
            <w:noWrap/>
            <w:vAlign w:val="bottom"/>
            <w:hideMark/>
          </w:tcPr>
          <w:p w14:paraId="7490D684" w14:textId="38AC9653"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31,519</w:t>
            </w:r>
          </w:p>
        </w:tc>
        <w:tc>
          <w:tcPr>
            <w:tcW w:w="1183" w:type="dxa"/>
            <w:tcBorders>
              <w:top w:val="nil"/>
              <w:left w:val="nil"/>
              <w:bottom w:val="single" w:sz="4" w:space="0" w:color="auto"/>
              <w:right w:val="single" w:sz="4" w:space="0" w:color="auto"/>
            </w:tcBorders>
          </w:tcPr>
          <w:p w14:paraId="00ACFB14" w14:textId="723F9A91"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32,385</w:t>
            </w:r>
          </w:p>
        </w:tc>
      </w:tr>
      <w:tr w:rsidR="008A1D58" w:rsidRPr="00DF233E" w14:paraId="2AC29293" w14:textId="0728D887" w:rsidTr="008A1D58">
        <w:trPr>
          <w:trHeight w:val="263"/>
          <w:jc w:val="center"/>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1CEB95C" w14:textId="63593410" w:rsidR="008A1D58" w:rsidRPr="00DF233E" w:rsidRDefault="008A1D58" w:rsidP="008A1D58">
            <w:pPr>
              <w:spacing w:after="0" w:line="240" w:lineRule="auto"/>
              <w:rPr>
                <w:rFonts w:ascii="Arial" w:eastAsia="Times New Roman" w:hAnsi="Arial" w:cs="Arial"/>
                <w:lang w:eastAsia="en-GB"/>
              </w:rPr>
            </w:pPr>
            <w:r w:rsidRPr="00DF233E">
              <w:rPr>
                <w:rFonts w:ascii="Arial" w:eastAsia="Times New Roman" w:hAnsi="Arial" w:cs="Arial"/>
                <w:lang w:eastAsia="en-GB"/>
              </w:rPr>
              <w:t>GP Direct Patient Care staff</w:t>
            </w:r>
          </w:p>
        </w:tc>
        <w:tc>
          <w:tcPr>
            <w:tcW w:w="1112" w:type="dxa"/>
            <w:tcBorders>
              <w:top w:val="nil"/>
              <w:left w:val="nil"/>
              <w:bottom w:val="single" w:sz="4" w:space="0" w:color="auto"/>
              <w:right w:val="single" w:sz="4" w:space="0" w:color="auto"/>
            </w:tcBorders>
            <w:shd w:val="clear" w:color="auto" w:fill="auto"/>
            <w:noWrap/>
            <w:vAlign w:val="bottom"/>
            <w:hideMark/>
          </w:tcPr>
          <w:p w14:paraId="22AA0213" w14:textId="5ADFFB53"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18,550</w:t>
            </w:r>
          </w:p>
        </w:tc>
        <w:tc>
          <w:tcPr>
            <w:tcW w:w="1301" w:type="dxa"/>
            <w:tcBorders>
              <w:top w:val="nil"/>
              <w:left w:val="nil"/>
              <w:bottom w:val="single" w:sz="4" w:space="0" w:color="auto"/>
              <w:right w:val="single" w:sz="4" w:space="0" w:color="auto"/>
            </w:tcBorders>
            <w:shd w:val="clear" w:color="auto" w:fill="auto"/>
            <w:noWrap/>
            <w:vAlign w:val="bottom"/>
            <w:hideMark/>
          </w:tcPr>
          <w:p w14:paraId="6F1E4BEC" w14:textId="07C2B2CB"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18,821</w:t>
            </w:r>
          </w:p>
        </w:tc>
        <w:tc>
          <w:tcPr>
            <w:tcW w:w="1301" w:type="dxa"/>
            <w:tcBorders>
              <w:top w:val="nil"/>
              <w:left w:val="nil"/>
              <w:bottom w:val="single" w:sz="4" w:space="0" w:color="auto"/>
              <w:right w:val="single" w:sz="4" w:space="0" w:color="auto"/>
            </w:tcBorders>
            <w:shd w:val="clear" w:color="auto" w:fill="auto"/>
            <w:noWrap/>
            <w:vAlign w:val="bottom"/>
            <w:hideMark/>
          </w:tcPr>
          <w:p w14:paraId="78537F56" w14:textId="6FDF9C20"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18,981</w:t>
            </w:r>
          </w:p>
        </w:tc>
        <w:tc>
          <w:tcPr>
            <w:tcW w:w="1301" w:type="dxa"/>
            <w:tcBorders>
              <w:top w:val="nil"/>
              <w:left w:val="nil"/>
              <w:bottom w:val="single" w:sz="4" w:space="0" w:color="auto"/>
              <w:right w:val="single" w:sz="4" w:space="0" w:color="auto"/>
            </w:tcBorders>
            <w:shd w:val="clear" w:color="auto" w:fill="auto"/>
            <w:noWrap/>
            <w:vAlign w:val="bottom"/>
            <w:hideMark/>
          </w:tcPr>
          <w:p w14:paraId="364907F2" w14:textId="500FBCE7"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19,175</w:t>
            </w:r>
          </w:p>
        </w:tc>
        <w:tc>
          <w:tcPr>
            <w:tcW w:w="1183" w:type="dxa"/>
            <w:tcBorders>
              <w:top w:val="nil"/>
              <w:left w:val="nil"/>
              <w:bottom w:val="single" w:sz="4" w:space="0" w:color="auto"/>
              <w:right w:val="single" w:sz="4" w:space="0" w:color="auto"/>
            </w:tcBorders>
          </w:tcPr>
          <w:p w14:paraId="4507779B" w14:textId="0D19A923"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19,934</w:t>
            </w:r>
          </w:p>
        </w:tc>
      </w:tr>
      <w:tr w:rsidR="008A1D58" w:rsidRPr="00DF233E" w14:paraId="2A392560" w14:textId="4A843C01" w:rsidTr="008A1D58">
        <w:trPr>
          <w:trHeight w:val="263"/>
          <w:jc w:val="center"/>
        </w:trPr>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057DEC12" w14:textId="79297464" w:rsidR="008A1D58" w:rsidRPr="00DF233E" w:rsidRDefault="008A1D58" w:rsidP="008A1D58">
            <w:pPr>
              <w:spacing w:after="0" w:line="240" w:lineRule="auto"/>
              <w:rPr>
                <w:rFonts w:ascii="Arial" w:eastAsia="Times New Roman" w:hAnsi="Arial" w:cs="Arial"/>
                <w:lang w:eastAsia="en-GB"/>
              </w:rPr>
            </w:pPr>
            <w:r w:rsidRPr="00DF233E">
              <w:rPr>
                <w:rFonts w:ascii="Arial" w:eastAsia="Times New Roman" w:hAnsi="Arial" w:cs="Arial"/>
                <w:lang w:eastAsia="en-GB"/>
              </w:rPr>
              <w:t>GP Admin/Non-Clinical staff</w:t>
            </w:r>
          </w:p>
        </w:tc>
        <w:tc>
          <w:tcPr>
            <w:tcW w:w="1112" w:type="dxa"/>
            <w:tcBorders>
              <w:top w:val="nil"/>
              <w:left w:val="nil"/>
              <w:bottom w:val="single" w:sz="4" w:space="0" w:color="auto"/>
              <w:right w:val="single" w:sz="4" w:space="0" w:color="auto"/>
            </w:tcBorders>
            <w:shd w:val="clear" w:color="auto" w:fill="auto"/>
            <w:noWrap/>
            <w:vAlign w:val="bottom"/>
            <w:hideMark/>
          </w:tcPr>
          <w:p w14:paraId="4AD619C6" w14:textId="5DB996D0"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24,499</w:t>
            </w:r>
          </w:p>
        </w:tc>
        <w:tc>
          <w:tcPr>
            <w:tcW w:w="1301" w:type="dxa"/>
            <w:tcBorders>
              <w:top w:val="nil"/>
              <w:left w:val="nil"/>
              <w:bottom w:val="single" w:sz="4" w:space="0" w:color="auto"/>
              <w:right w:val="single" w:sz="4" w:space="0" w:color="auto"/>
            </w:tcBorders>
            <w:shd w:val="clear" w:color="auto" w:fill="auto"/>
            <w:noWrap/>
            <w:vAlign w:val="bottom"/>
            <w:hideMark/>
          </w:tcPr>
          <w:p w14:paraId="12A7935B" w14:textId="33DB867A"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24,910</w:t>
            </w:r>
          </w:p>
        </w:tc>
        <w:tc>
          <w:tcPr>
            <w:tcW w:w="1301" w:type="dxa"/>
            <w:tcBorders>
              <w:top w:val="nil"/>
              <w:left w:val="nil"/>
              <w:bottom w:val="single" w:sz="4" w:space="0" w:color="auto"/>
              <w:right w:val="single" w:sz="4" w:space="0" w:color="auto"/>
            </w:tcBorders>
            <w:shd w:val="clear" w:color="auto" w:fill="auto"/>
            <w:noWrap/>
            <w:vAlign w:val="bottom"/>
            <w:hideMark/>
          </w:tcPr>
          <w:p w14:paraId="41CCB60B" w14:textId="70757C95"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25,390</w:t>
            </w:r>
          </w:p>
        </w:tc>
        <w:tc>
          <w:tcPr>
            <w:tcW w:w="1301" w:type="dxa"/>
            <w:tcBorders>
              <w:top w:val="nil"/>
              <w:left w:val="nil"/>
              <w:bottom w:val="single" w:sz="4" w:space="0" w:color="auto"/>
              <w:right w:val="single" w:sz="4" w:space="0" w:color="auto"/>
            </w:tcBorders>
            <w:shd w:val="clear" w:color="auto" w:fill="auto"/>
            <w:noWrap/>
            <w:vAlign w:val="bottom"/>
            <w:hideMark/>
          </w:tcPr>
          <w:p w14:paraId="65708F5F" w14:textId="06CEC017" w:rsidR="008A1D58" w:rsidRPr="00DF233E" w:rsidRDefault="008A1D58" w:rsidP="008A1D58">
            <w:pPr>
              <w:spacing w:after="0" w:line="240" w:lineRule="auto"/>
              <w:jc w:val="right"/>
              <w:rPr>
                <w:rFonts w:ascii="Arial" w:eastAsia="Times New Roman" w:hAnsi="Arial" w:cs="Arial"/>
                <w:color w:val="000000"/>
                <w:lang w:eastAsia="en-GB"/>
              </w:rPr>
            </w:pPr>
            <w:r w:rsidRPr="00DF233E">
              <w:rPr>
                <w:rFonts w:ascii="Arial" w:eastAsia="Times New Roman" w:hAnsi="Arial" w:cs="Arial"/>
                <w:color w:val="000000"/>
                <w:lang w:eastAsia="en-GB"/>
              </w:rPr>
              <w:t>25,838</w:t>
            </w:r>
          </w:p>
        </w:tc>
        <w:tc>
          <w:tcPr>
            <w:tcW w:w="1183" w:type="dxa"/>
            <w:tcBorders>
              <w:top w:val="nil"/>
              <w:left w:val="nil"/>
              <w:bottom w:val="single" w:sz="4" w:space="0" w:color="auto"/>
              <w:right w:val="single" w:sz="4" w:space="0" w:color="auto"/>
            </w:tcBorders>
          </w:tcPr>
          <w:p w14:paraId="4DFEC77B" w14:textId="2C7A4BF4" w:rsidR="008A1D58" w:rsidRPr="008A1D58" w:rsidRDefault="008A1D58" w:rsidP="008A1D58">
            <w:pPr>
              <w:spacing w:after="0" w:line="240" w:lineRule="auto"/>
              <w:jc w:val="right"/>
              <w:rPr>
                <w:rFonts w:ascii="Arial" w:eastAsia="Times New Roman" w:hAnsi="Arial" w:cs="Arial"/>
                <w:color w:val="000000"/>
                <w:lang w:eastAsia="en-GB"/>
              </w:rPr>
            </w:pPr>
            <w:r w:rsidRPr="008A1D58">
              <w:rPr>
                <w:rFonts w:ascii="Arial" w:hAnsi="Arial" w:cs="Arial"/>
              </w:rPr>
              <w:t>26,614</w:t>
            </w:r>
          </w:p>
        </w:tc>
      </w:tr>
    </w:tbl>
    <w:p w14:paraId="341A656F" w14:textId="44ABE17C" w:rsidR="00B765A5" w:rsidRPr="00BD6196" w:rsidRDefault="00861CEE" w:rsidP="008A1D58">
      <w:pPr>
        <w:spacing w:after="0" w:line="276" w:lineRule="auto"/>
        <w:ind w:left="360"/>
        <w:rPr>
          <w:rFonts w:ascii="Arial" w:hAnsi="Arial" w:cs="Arial"/>
          <w:sz w:val="24"/>
        </w:rPr>
      </w:pPr>
      <w:r w:rsidRPr="00BD6196">
        <w:rPr>
          <w:rFonts w:ascii="Arial" w:hAnsi="Arial" w:cs="Arial"/>
          <w:sz w:val="20"/>
        </w:rPr>
        <w:t xml:space="preserve">Note: </w:t>
      </w:r>
      <w:r w:rsidR="00763FD9">
        <w:rPr>
          <w:rFonts w:ascii="Arial" w:hAnsi="Arial" w:cs="Arial"/>
          <w:sz w:val="20"/>
        </w:rPr>
        <w:t xml:space="preserve">To get </w:t>
      </w:r>
      <w:r w:rsidR="006A1657">
        <w:rPr>
          <w:rFonts w:ascii="Arial" w:hAnsi="Arial" w:cs="Arial"/>
          <w:sz w:val="20"/>
        </w:rPr>
        <w:t>FTE earnings</w:t>
      </w:r>
      <w:r w:rsidR="00763FD9">
        <w:rPr>
          <w:rFonts w:ascii="Arial" w:hAnsi="Arial" w:cs="Arial"/>
          <w:sz w:val="20"/>
        </w:rPr>
        <w:t xml:space="preserve">, all </w:t>
      </w:r>
      <w:r w:rsidR="006A1657">
        <w:rPr>
          <w:rFonts w:ascii="Arial" w:hAnsi="Arial" w:cs="Arial"/>
          <w:sz w:val="20"/>
        </w:rPr>
        <w:t xml:space="preserve">figures have been uprated by the FTE/headcount earnings ratio. Income before tax figure also includes non-NHS private earnings. NHS only earnings are not </w:t>
      </w:r>
      <w:r w:rsidR="006A1657">
        <w:rPr>
          <w:rFonts w:ascii="Arial" w:hAnsi="Arial" w:cs="Arial"/>
          <w:sz w:val="20"/>
        </w:rPr>
        <w:lastRenderedPageBreak/>
        <w:t xml:space="preserve">available for the time being. </w:t>
      </w:r>
      <w:r w:rsidR="00B765A5" w:rsidRPr="00BD6196">
        <w:rPr>
          <w:rFonts w:ascii="Arial" w:hAnsi="Arial" w:cs="Arial"/>
          <w:sz w:val="20"/>
        </w:rPr>
        <w:t xml:space="preserve">Source: All GPs is the GPMS ‘income before tax’ from </w:t>
      </w:r>
      <w:hyperlink r:id="rId16" w:history="1">
        <w:r w:rsidR="00B765A5" w:rsidRPr="00BD6196">
          <w:rPr>
            <w:rStyle w:val="Hyperlink"/>
            <w:rFonts w:ascii="Arial" w:hAnsi="Arial" w:cs="Arial"/>
            <w:sz w:val="20"/>
          </w:rPr>
          <w:t>GP Earning and Expenses Time-Series (Table 13)</w:t>
        </w:r>
      </w:hyperlink>
      <w:r w:rsidR="00B765A5" w:rsidRPr="00BD6196">
        <w:rPr>
          <w:rFonts w:ascii="Arial" w:hAnsi="Arial" w:cs="Arial"/>
          <w:sz w:val="20"/>
        </w:rPr>
        <w:t xml:space="preserve">. Direct patient care is ‘Nurses’ and Admin/Non-Clinical is ‘Central functions’ from </w:t>
      </w:r>
      <w:hyperlink r:id="rId17" w:history="1">
        <w:r w:rsidR="00B765A5" w:rsidRPr="00BD6196">
          <w:rPr>
            <w:rStyle w:val="Hyperlink"/>
            <w:rFonts w:ascii="Arial" w:hAnsi="Arial" w:cs="Arial"/>
            <w:sz w:val="20"/>
          </w:rPr>
          <w:t>NHS Staff Earning Estimates</w:t>
        </w:r>
      </w:hyperlink>
      <w:r w:rsidR="00B765A5" w:rsidRPr="00BD6196">
        <w:rPr>
          <w:rFonts w:ascii="Arial" w:hAnsi="Arial" w:cs="Arial"/>
          <w:sz w:val="20"/>
        </w:rPr>
        <w:t xml:space="preserve">. </w:t>
      </w:r>
    </w:p>
    <w:p w14:paraId="5C960647" w14:textId="77777777" w:rsidR="00B765A5" w:rsidRPr="00BD6196" w:rsidRDefault="00B765A5" w:rsidP="00BD6196">
      <w:pPr>
        <w:spacing w:line="276" w:lineRule="auto"/>
        <w:rPr>
          <w:rFonts w:ascii="Arial" w:hAnsi="Arial" w:cs="Arial"/>
          <w:sz w:val="24"/>
        </w:rPr>
      </w:pPr>
    </w:p>
    <w:p w14:paraId="2C1B77C0" w14:textId="082DE7BE" w:rsidR="00C761DC" w:rsidRPr="00BD6196" w:rsidRDefault="00A66C07"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There is no specific information on General Practice non-pay </w:t>
      </w:r>
      <w:r w:rsidR="00330186" w:rsidRPr="00BD6196">
        <w:rPr>
          <w:rFonts w:ascii="Arial" w:hAnsi="Arial" w:cs="Arial"/>
          <w:sz w:val="24"/>
        </w:rPr>
        <w:t>items</w:t>
      </w:r>
      <w:r w:rsidRPr="00BD6196">
        <w:rPr>
          <w:rFonts w:ascii="Arial" w:hAnsi="Arial" w:cs="Arial"/>
          <w:sz w:val="24"/>
        </w:rPr>
        <w:t xml:space="preserve"> for </w:t>
      </w:r>
      <w:r w:rsidR="0088429A" w:rsidRPr="00BD6196">
        <w:rPr>
          <w:rFonts w:ascii="Arial" w:hAnsi="Arial" w:cs="Arial"/>
          <w:sz w:val="24"/>
        </w:rPr>
        <w:t>the time being</w:t>
      </w:r>
      <w:r w:rsidRPr="00BD6196">
        <w:rPr>
          <w:rFonts w:ascii="Arial" w:hAnsi="Arial" w:cs="Arial"/>
          <w:sz w:val="24"/>
        </w:rPr>
        <w:t>. This spend category will</w:t>
      </w:r>
      <w:r w:rsidR="0088429A" w:rsidRPr="00BD6196">
        <w:rPr>
          <w:rFonts w:ascii="Arial" w:hAnsi="Arial" w:cs="Arial"/>
          <w:sz w:val="24"/>
        </w:rPr>
        <w:t>,</w:t>
      </w:r>
      <w:r w:rsidRPr="00BD6196">
        <w:rPr>
          <w:rFonts w:ascii="Arial" w:hAnsi="Arial" w:cs="Arial"/>
          <w:sz w:val="24"/>
        </w:rPr>
        <w:t xml:space="preserve"> therefore</w:t>
      </w:r>
      <w:r w:rsidR="0088429A" w:rsidRPr="00BD6196">
        <w:rPr>
          <w:rFonts w:ascii="Arial" w:hAnsi="Arial" w:cs="Arial"/>
          <w:sz w:val="24"/>
        </w:rPr>
        <w:t>,</w:t>
      </w:r>
      <w:r w:rsidRPr="00BD6196">
        <w:rPr>
          <w:rFonts w:ascii="Arial" w:hAnsi="Arial" w:cs="Arial"/>
          <w:sz w:val="24"/>
        </w:rPr>
        <w:t xml:space="preserve"> be treated as one item (GP non-pay). </w:t>
      </w:r>
    </w:p>
    <w:p w14:paraId="29D81F3D" w14:textId="77777777" w:rsidR="00B8746E" w:rsidRPr="00BD6196" w:rsidRDefault="00B8746E" w:rsidP="00BD6196">
      <w:pPr>
        <w:spacing w:line="276" w:lineRule="auto"/>
        <w:rPr>
          <w:rFonts w:ascii="Arial" w:hAnsi="Arial" w:cs="Arial"/>
          <w:sz w:val="24"/>
        </w:rPr>
      </w:pPr>
    </w:p>
    <w:p w14:paraId="626443A2" w14:textId="5CDE1929" w:rsidR="00C761DC" w:rsidRPr="00BD6196" w:rsidRDefault="00972C8D" w:rsidP="00BD6196">
      <w:pPr>
        <w:spacing w:line="276" w:lineRule="auto"/>
        <w:rPr>
          <w:rFonts w:ascii="Arial" w:hAnsi="Arial" w:cs="Arial"/>
          <w:b/>
          <w:sz w:val="28"/>
        </w:rPr>
      </w:pPr>
      <w:r w:rsidRPr="00BD6196">
        <w:rPr>
          <w:rFonts w:ascii="Arial" w:hAnsi="Arial" w:cs="Arial"/>
          <w:b/>
          <w:sz w:val="28"/>
        </w:rPr>
        <w:t xml:space="preserve">Prescribing </w:t>
      </w:r>
    </w:p>
    <w:p w14:paraId="013C32E8" w14:textId="2424A2CC" w:rsidR="00392632" w:rsidRPr="00BD6196" w:rsidRDefault="00A92BAB" w:rsidP="00BD6196">
      <w:pPr>
        <w:pStyle w:val="ListParagraph"/>
        <w:numPr>
          <w:ilvl w:val="0"/>
          <w:numId w:val="6"/>
        </w:numPr>
        <w:spacing w:line="276" w:lineRule="auto"/>
        <w:rPr>
          <w:rFonts w:ascii="Arial" w:hAnsi="Arial" w:cs="Arial"/>
          <w:sz w:val="24"/>
        </w:rPr>
      </w:pPr>
      <w:r w:rsidRPr="00BD6196">
        <w:rPr>
          <w:rFonts w:ascii="Arial" w:hAnsi="Arial" w:cs="Arial"/>
          <w:sz w:val="24"/>
        </w:rPr>
        <w:t>To account for inflation in prescr</w:t>
      </w:r>
      <w:r w:rsidR="001165CA" w:rsidRPr="00BD6196">
        <w:rPr>
          <w:rFonts w:ascii="Arial" w:hAnsi="Arial" w:cs="Arial"/>
          <w:sz w:val="24"/>
        </w:rPr>
        <w:t>i</w:t>
      </w:r>
      <w:r w:rsidRPr="00BD6196">
        <w:rPr>
          <w:rFonts w:ascii="Arial" w:hAnsi="Arial" w:cs="Arial"/>
          <w:sz w:val="24"/>
        </w:rPr>
        <w:t>bing</w:t>
      </w:r>
      <w:r w:rsidR="001165CA" w:rsidRPr="00BD6196">
        <w:rPr>
          <w:rFonts w:ascii="Arial" w:hAnsi="Arial" w:cs="Arial"/>
          <w:sz w:val="24"/>
        </w:rPr>
        <w:t xml:space="preserve">, costs of a </w:t>
      </w:r>
      <w:r w:rsidR="00392632" w:rsidRPr="00BD6196">
        <w:rPr>
          <w:rFonts w:ascii="Arial" w:hAnsi="Arial" w:cs="Arial"/>
          <w:sz w:val="24"/>
        </w:rPr>
        <w:t>prescription to the patient</w:t>
      </w:r>
      <w:r w:rsidR="001165CA" w:rsidRPr="00BD6196">
        <w:rPr>
          <w:rFonts w:ascii="Arial" w:hAnsi="Arial" w:cs="Arial"/>
          <w:sz w:val="24"/>
        </w:rPr>
        <w:t xml:space="preserve"> are acquired</w:t>
      </w:r>
      <w:r w:rsidR="00392632" w:rsidRPr="00BD6196">
        <w:rPr>
          <w:rFonts w:ascii="Arial" w:hAnsi="Arial" w:cs="Arial"/>
          <w:sz w:val="24"/>
        </w:rPr>
        <w:t>.</w:t>
      </w:r>
      <w:r w:rsidR="001165CA" w:rsidRPr="00BD6196">
        <w:rPr>
          <w:rFonts w:ascii="Arial" w:hAnsi="Arial" w:cs="Arial"/>
          <w:sz w:val="24"/>
        </w:rPr>
        <w:t xml:space="preserve"> T</w:t>
      </w:r>
      <w:r w:rsidR="00392632" w:rsidRPr="00BD6196">
        <w:rPr>
          <w:rFonts w:ascii="Arial" w:hAnsi="Arial" w:cs="Arial"/>
          <w:sz w:val="24"/>
        </w:rPr>
        <w:t>his i</w:t>
      </w:r>
      <w:r w:rsidR="00BF744F" w:rsidRPr="00BD6196">
        <w:rPr>
          <w:rFonts w:ascii="Arial" w:hAnsi="Arial" w:cs="Arial"/>
          <w:sz w:val="24"/>
        </w:rPr>
        <w:t xml:space="preserve">nformation is sourced from </w:t>
      </w:r>
      <w:r w:rsidR="00972C8D" w:rsidRPr="00BD6196">
        <w:rPr>
          <w:rFonts w:ascii="Arial" w:hAnsi="Arial" w:cs="Arial"/>
          <w:sz w:val="24"/>
        </w:rPr>
        <w:t xml:space="preserve">the York CHE productivity publication. </w:t>
      </w:r>
    </w:p>
    <w:p w14:paraId="3CFA8FC4" w14:textId="77777777" w:rsidR="00392632" w:rsidRPr="00BD6196" w:rsidRDefault="00392632" w:rsidP="00BD6196">
      <w:pPr>
        <w:pStyle w:val="ListParagraph"/>
        <w:spacing w:line="276" w:lineRule="auto"/>
        <w:ind w:left="360"/>
        <w:rPr>
          <w:rFonts w:ascii="Arial" w:hAnsi="Arial" w:cs="Arial"/>
          <w:sz w:val="24"/>
        </w:rPr>
      </w:pPr>
    </w:p>
    <w:p w14:paraId="3A5E1A3A" w14:textId="063231A2" w:rsidR="00972C8D" w:rsidRPr="00BD6196" w:rsidRDefault="00972C8D" w:rsidP="00BD6196">
      <w:pPr>
        <w:pStyle w:val="ListParagraph"/>
        <w:numPr>
          <w:ilvl w:val="0"/>
          <w:numId w:val="6"/>
        </w:numPr>
        <w:spacing w:line="276" w:lineRule="auto"/>
        <w:rPr>
          <w:rFonts w:ascii="Arial" w:hAnsi="Arial" w:cs="Arial"/>
          <w:sz w:val="24"/>
        </w:rPr>
      </w:pPr>
      <w:r w:rsidRPr="00BD6196">
        <w:rPr>
          <w:rFonts w:ascii="Arial" w:hAnsi="Arial" w:cs="Arial"/>
          <w:sz w:val="24"/>
        </w:rPr>
        <w:t>The</w:t>
      </w:r>
      <w:r w:rsidR="00B62A5F" w:rsidRPr="00BD6196">
        <w:rPr>
          <w:rFonts w:ascii="Arial" w:hAnsi="Arial" w:cs="Arial"/>
          <w:sz w:val="24"/>
        </w:rPr>
        <w:t xml:space="preserve">y use data of </w:t>
      </w:r>
      <w:r w:rsidRPr="00BD6196">
        <w:rPr>
          <w:rFonts w:ascii="Arial" w:hAnsi="Arial" w:cs="Arial"/>
          <w:sz w:val="24"/>
        </w:rPr>
        <w:t xml:space="preserve">all prescriptions dispensed in the community from the Prescription Cost Analysis (PCA) system. </w:t>
      </w:r>
      <w:r w:rsidR="0088429A" w:rsidRPr="00BD6196">
        <w:rPr>
          <w:rFonts w:ascii="Arial" w:hAnsi="Arial" w:cs="Arial"/>
          <w:sz w:val="24"/>
        </w:rPr>
        <w:t>These</w:t>
      </w:r>
      <w:r w:rsidRPr="00BD6196">
        <w:rPr>
          <w:rFonts w:ascii="Arial" w:hAnsi="Arial" w:cs="Arial"/>
          <w:sz w:val="24"/>
        </w:rPr>
        <w:t xml:space="preserve"> data include information about the drug code, net ingredient cost, quantity of drug dispensed, and number of prescription items.</w:t>
      </w:r>
    </w:p>
    <w:p w14:paraId="195A8CC3" w14:textId="4C069ECF" w:rsidR="00BD6196" w:rsidRDefault="00BD6196" w:rsidP="00BD6196">
      <w:pPr>
        <w:pStyle w:val="ListParagraph"/>
        <w:spacing w:line="276" w:lineRule="auto"/>
        <w:ind w:left="360"/>
        <w:rPr>
          <w:rFonts w:ascii="Arial" w:hAnsi="Arial" w:cs="Arial"/>
          <w:sz w:val="24"/>
        </w:rPr>
      </w:pPr>
    </w:p>
    <w:p w14:paraId="67BE5DDF" w14:textId="1D26BD0B" w:rsidR="00BD6196" w:rsidRPr="00BD6196" w:rsidRDefault="00BD6196" w:rsidP="00BD6196">
      <w:pPr>
        <w:spacing w:after="0" w:line="276" w:lineRule="auto"/>
        <w:jc w:val="center"/>
        <w:rPr>
          <w:rFonts w:ascii="Arial" w:hAnsi="Arial" w:cs="Arial"/>
          <w:sz w:val="24"/>
        </w:rPr>
      </w:pPr>
      <w:r w:rsidRPr="00BD6196">
        <w:rPr>
          <w:rFonts w:ascii="Arial" w:hAnsi="Arial" w:cs="Arial"/>
          <w:sz w:val="24"/>
          <w:u w:val="single"/>
        </w:rPr>
        <w:t xml:space="preserve">Table </w:t>
      </w:r>
      <w:r>
        <w:rPr>
          <w:rFonts w:ascii="Arial" w:hAnsi="Arial" w:cs="Arial"/>
          <w:sz w:val="24"/>
          <w:u w:val="single"/>
        </w:rPr>
        <w:t>6</w:t>
      </w:r>
      <w:r w:rsidRPr="00BD6196">
        <w:rPr>
          <w:rFonts w:ascii="Arial" w:hAnsi="Arial" w:cs="Arial"/>
          <w:sz w:val="24"/>
          <w:u w:val="single"/>
        </w:rPr>
        <w:t xml:space="preserve">: </w:t>
      </w:r>
      <w:r>
        <w:rPr>
          <w:rFonts w:ascii="Arial" w:hAnsi="Arial" w:cs="Arial"/>
          <w:sz w:val="24"/>
          <w:u w:val="single"/>
        </w:rPr>
        <w:t>Prescribing volumes and unit costs</w:t>
      </w:r>
    </w:p>
    <w:tbl>
      <w:tblPr>
        <w:tblStyle w:val="GridTable4-Accent1"/>
        <w:tblW w:w="8363" w:type="dxa"/>
        <w:jc w:val="center"/>
        <w:tblLook w:val="0420" w:firstRow="1" w:lastRow="0" w:firstColumn="0" w:lastColumn="0" w:noHBand="0" w:noVBand="1"/>
      </w:tblPr>
      <w:tblGrid>
        <w:gridCol w:w="1249"/>
        <w:gridCol w:w="1400"/>
        <w:gridCol w:w="1924"/>
        <w:gridCol w:w="2046"/>
        <w:gridCol w:w="1744"/>
      </w:tblGrid>
      <w:tr w:rsidR="00BF744F" w:rsidRPr="00BD6196" w14:paraId="090CA375" w14:textId="77777777" w:rsidTr="00DB5B0C">
        <w:trPr>
          <w:cnfStyle w:val="100000000000" w:firstRow="1" w:lastRow="0" w:firstColumn="0" w:lastColumn="0" w:oddVBand="0" w:evenVBand="0" w:oddHBand="0" w:evenHBand="0" w:firstRowFirstColumn="0" w:firstRowLastColumn="0" w:lastRowFirstColumn="0" w:lastRowLastColumn="0"/>
          <w:trHeight w:val="1404"/>
          <w:jc w:val="center"/>
        </w:trPr>
        <w:tc>
          <w:tcPr>
            <w:tcW w:w="1249" w:type="dxa"/>
            <w:hideMark/>
          </w:tcPr>
          <w:p w14:paraId="2F134E16" w14:textId="77777777" w:rsidR="00BF744F" w:rsidRPr="00BD6196" w:rsidRDefault="00BF744F" w:rsidP="00BD6196">
            <w:pPr>
              <w:spacing w:line="276" w:lineRule="auto"/>
              <w:jc w:val="center"/>
              <w:rPr>
                <w:rFonts w:ascii="Arial" w:eastAsia="Times New Roman" w:hAnsi="Arial" w:cs="Arial"/>
                <w:b w:val="0"/>
                <w:bCs w:val="0"/>
                <w:color w:val="FFFFFF"/>
                <w:lang w:eastAsia="en-GB"/>
              </w:rPr>
            </w:pPr>
            <w:r w:rsidRPr="00BD6196">
              <w:rPr>
                <w:rFonts w:ascii="Arial" w:eastAsia="Times New Roman" w:hAnsi="Arial" w:cs="Arial"/>
                <w:color w:val="FFFFFF"/>
                <w:lang w:eastAsia="en-GB"/>
              </w:rPr>
              <w:t>Year</w:t>
            </w:r>
          </w:p>
        </w:tc>
        <w:tc>
          <w:tcPr>
            <w:tcW w:w="1400" w:type="dxa"/>
            <w:hideMark/>
          </w:tcPr>
          <w:p w14:paraId="12A76308" w14:textId="77777777" w:rsidR="00BF744F" w:rsidRPr="00BD6196" w:rsidRDefault="00BF744F" w:rsidP="00BD6196">
            <w:pPr>
              <w:spacing w:line="276" w:lineRule="auto"/>
              <w:jc w:val="center"/>
              <w:rPr>
                <w:rFonts w:ascii="Arial" w:eastAsia="Times New Roman" w:hAnsi="Arial" w:cs="Arial"/>
                <w:b w:val="0"/>
                <w:bCs w:val="0"/>
                <w:color w:val="FFFFFF"/>
                <w:lang w:eastAsia="en-GB"/>
              </w:rPr>
            </w:pPr>
            <w:r w:rsidRPr="00BD6196">
              <w:rPr>
                <w:rFonts w:ascii="Arial" w:eastAsia="Times New Roman" w:hAnsi="Arial" w:cs="Arial"/>
                <w:color w:val="FFFFFF"/>
                <w:lang w:eastAsia="en-GB"/>
              </w:rPr>
              <w:t>Unique drug codes observed</w:t>
            </w:r>
          </w:p>
        </w:tc>
        <w:tc>
          <w:tcPr>
            <w:tcW w:w="1924" w:type="dxa"/>
            <w:hideMark/>
          </w:tcPr>
          <w:p w14:paraId="3A8EF6DC" w14:textId="77777777" w:rsidR="00BF744F" w:rsidRPr="00BD6196" w:rsidRDefault="00BF744F" w:rsidP="00BD6196">
            <w:pPr>
              <w:spacing w:line="276" w:lineRule="auto"/>
              <w:jc w:val="center"/>
              <w:rPr>
                <w:rFonts w:ascii="Arial" w:eastAsia="Times New Roman" w:hAnsi="Arial" w:cs="Arial"/>
                <w:b w:val="0"/>
                <w:bCs w:val="0"/>
                <w:color w:val="FFFFFF"/>
                <w:lang w:eastAsia="en-GB"/>
              </w:rPr>
            </w:pPr>
            <w:r w:rsidRPr="00BD6196">
              <w:rPr>
                <w:rFonts w:ascii="Arial" w:eastAsia="Times New Roman" w:hAnsi="Arial" w:cs="Arial"/>
                <w:color w:val="FFFFFF"/>
                <w:lang w:eastAsia="en-GB"/>
              </w:rPr>
              <w:t>Total Prescribing</w:t>
            </w:r>
          </w:p>
        </w:tc>
        <w:tc>
          <w:tcPr>
            <w:tcW w:w="2046" w:type="dxa"/>
            <w:hideMark/>
          </w:tcPr>
          <w:p w14:paraId="02415BF9" w14:textId="77777777" w:rsidR="00BF744F" w:rsidRDefault="00BF744F" w:rsidP="00BD6196">
            <w:pPr>
              <w:spacing w:line="276" w:lineRule="auto"/>
              <w:jc w:val="center"/>
              <w:rPr>
                <w:rFonts w:ascii="Arial" w:eastAsia="Times New Roman" w:hAnsi="Arial" w:cs="Arial"/>
                <w:b w:val="0"/>
                <w:bCs w:val="0"/>
                <w:color w:val="FFFFFF"/>
                <w:lang w:eastAsia="en-GB"/>
              </w:rPr>
            </w:pPr>
            <w:r w:rsidRPr="00BD6196">
              <w:rPr>
                <w:rFonts w:ascii="Arial" w:eastAsia="Times New Roman" w:hAnsi="Arial" w:cs="Arial"/>
                <w:color w:val="FFFFFF"/>
                <w:lang w:eastAsia="en-GB"/>
              </w:rPr>
              <w:t>Total Spend</w:t>
            </w:r>
          </w:p>
          <w:p w14:paraId="19A11E4E" w14:textId="2071FEB4" w:rsidR="008A1D58" w:rsidRPr="00BD6196" w:rsidRDefault="008A1D58" w:rsidP="00BD6196">
            <w:pPr>
              <w:spacing w:line="276" w:lineRule="auto"/>
              <w:jc w:val="center"/>
              <w:rPr>
                <w:rFonts w:ascii="Arial" w:eastAsia="Times New Roman" w:hAnsi="Arial" w:cs="Arial"/>
                <w:b w:val="0"/>
                <w:bCs w:val="0"/>
                <w:color w:val="FFFFFF"/>
                <w:lang w:eastAsia="en-GB"/>
              </w:rPr>
            </w:pPr>
            <w:r>
              <w:rPr>
                <w:rFonts w:ascii="Arial" w:eastAsia="Times New Roman" w:hAnsi="Arial" w:cs="Arial"/>
                <w:b w:val="0"/>
                <w:bCs w:val="0"/>
                <w:color w:val="FFFFFF"/>
                <w:lang w:eastAsia="en-GB"/>
              </w:rPr>
              <w:t>£</w:t>
            </w:r>
          </w:p>
        </w:tc>
        <w:tc>
          <w:tcPr>
            <w:tcW w:w="1744" w:type="dxa"/>
            <w:hideMark/>
          </w:tcPr>
          <w:p w14:paraId="55145BA5" w14:textId="77777777" w:rsidR="00BF744F" w:rsidRPr="00BD6196" w:rsidRDefault="00BF744F" w:rsidP="00BD6196">
            <w:pPr>
              <w:spacing w:line="276" w:lineRule="auto"/>
              <w:jc w:val="center"/>
              <w:rPr>
                <w:rFonts w:ascii="Arial" w:eastAsia="Times New Roman" w:hAnsi="Arial" w:cs="Arial"/>
                <w:b w:val="0"/>
                <w:bCs w:val="0"/>
                <w:color w:val="FFFFFF"/>
                <w:lang w:eastAsia="en-GB"/>
              </w:rPr>
            </w:pPr>
            <w:r w:rsidRPr="00BD6196">
              <w:rPr>
                <w:rFonts w:ascii="Arial" w:eastAsia="Times New Roman" w:hAnsi="Arial" w:cs="Arial"/>
                <w:color w:val="FFFFFF"/>
                <w:lang w:eastAsia="en-GB"/>
              </w:rPr>
              <w:t>Activity weighted average prescription unit cost (£)</w:t>
            </w:r>
          </w:p>
        </w:tc>
      </w:tr>
      <w:tr w:rsidR="00BF744F" w:rsidRPr="00BD6196" w14:paraId="19AD6B5B"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44E7832A"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2004/05</w:t>
            </w:r>
          </w:p>
        </w:tc>
        <w:tc>
          <w:tcPr>
            <w:tcW w:w="1400" w:type="dxa"/>
            <w:noWrap/>
            <w:hideMark/>
          </w:tcPr>
          <w:p w14:paraId="009FBCED"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8,779</w:t>
            </w:r>
          </w:p>
        </w:tc>
        <w:tc>
          <w:tcPr>
            <w:tcW w:w="1924" w:type="dxa"/>
            <w:noWrap/>
            <w:hideMark/>
          </w:tcPr>
          <w:p w14:paraId="0B1F7B5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691,948,868</w:t>
            </w:r>
          </w:p>
        </w:tc>
        <w:tc>
          <w:tcPr>
            <w:tcW w:w="2046" w:type="dxa"/>
            <w:noWrap/>
            <w:hideMark/>
          </w:tcPr>
          <w:p w14:paraId="51CB3E4D" w14:textId="50450F6A"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8,094,174,944</w:t>
            </w:r>
          </w:p>
        </w:tc>
        <w:tc>
          <w:tcPr>
            <w:tcW w:w="1744" w:type="dxa"/>
            <w:hideMark/>
          </w:tcPr>
          <w:p w14:paraId="7D21EDD1"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11.7</w:t>
            </w:r>
          </w:p>
        </w:tc>
      </w:tr>
      <w:tr w:rsidR="00BF744F" w:rsidRPr="00BD6196" w14:paraId="0AFD14BF" w14:textId="77777777" w:rsidTr="00DB5B0C">
        <w:trPr>
          <w:trHeight w:val="258"/>
          <w:jc w:val="center"/>
        </w:trPr>
        <w:tc>
          <w:tcPr>
            <w:tcW w:w="1249" w:type="dxa"/>
            <w:noWrap/>
            <w:hideMark/>
          </w:tcPr>
          <w:p w14:paraId="2CFC426C"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2005/06</w:t>
            </w:r>
          </w:p>
        </w:tc>
        <w:tc>
          <w:tcPr>
            <w:tcW w:w="1400" w:type="dxa"/>
            <w:noWrap/>
            <w:hideMark/>
          </w:tcPr>
          <w:p w14:paraId="648D0432"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8,535</w:t>
            </w:r>
          </w:p>
        </w:tc>
        <w:tc>
          <w:tcPr>
            <w:tcW w:w="1924" w:type="dxa"/>
            <w:noWrap/>
            <w:hideMark/>
          </w:tcPr>
          <w:p w14:paraId="10E6DFA3"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733,010,929</w:t>
            </w:r>
          </w:p>
        </w:tc>
        <w:tc>
          <w:tcPr>
            <w:tcW w:w="2046" w:type="dxa"/>
            <w:noWrap/>
            <w:hideMark/>
          </w:tcPr>
          <w:p w14:paraId="041E3228" w14:textId="046D460E"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8,013,483,226</w:t>
            </w:r>
          </w:p>
        </w:tc>
        <w:tc>
          <w:tcPr>
            <w:tcW w:w="1744" w:type="dxa"/>
            <w:hideMark/>
          </w:tcPr>
          <w:p w14:paraId="1576D604"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10.93</w:t>
            </w:r>
          </w:p>
        </w:tc>
      </w:tr>
      <w:tr w:rsidR="00BF744F" w:rsidRPr="00BD6196" w14:paraId="2C214605"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2A11AD31"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2006/07</w:t>
            </w:r>
          </w:p>
        </w:tc>
        <w:tc>
          <w:tcPr>
            <w:tcW w:w="1400" w:type="dxa"/>
            <w:noWrap/>
            <w:hideMark/>
          </w:tcPr>
          <w:p w14:paraId="032E076C"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8,218</w:t>
            </w:r>
          </w:p>
        </w:tc>
        <w:tc>
          <w:tcPr>
            <w:tcW w:w="1924" w:type="dxa"/>
            <w:noWrap/>
            <w:hideMark/>
          </w:tcPr>
          <w:p w14:paraId="17DF6CD0"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762,631,738</w:t>
            </w:r>
          </w:p>
        </w:tc>
        <w:tc>
          <w:tcPr>
            <w:tcW w:w="2046" w:type="dxa"/>
            <w:noWrap/>
            <w:hideMark/>
          </w:tcPr>
          <w:p w14:paraId="715E3257" w14:textId="6F2533D1"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8,250,323,893</w:t>
            </w:r>
          </w:p>
        </w:tc>
        <w:tc>
          <w:tcPr>
            <w:tcW w:w="1744" w:type="dxa"/>
            <w:hideMark/>
          </w:tcPr>
          <w:p w14:paraId="45BE2F1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10.82</w:t>
            </w:r>
          </w:p>
        </w:tc>
      </w:tr>
      <w:tr w:rsidR="00BF744F" w:rsidRPr="00BD6196" w14:paraId="5A2BC03B" w14:textId="77777777" w:rsidTr="00DB5B0C">
        <w:trPr>
          <w:trHeight w:val="258"/>
          <w:jc w:val="center"/>
        </w:trPr>
        <w:tc>
          <w:tcPr>
            <w:tcW w:w="1249" w:type="dxa"/>
            <w:noWrap/>
            <w:hideMark/>
          </w:tcPr>
          <w:p w14:paraId="1387FE4B"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2007/08</w:t>
            </w:r>
          </w:p>
        </w:tc>
        <w:tc>
          <w:tcPr>
            <w:tcW w:w="1400" w:type="dxa"/>
            <w:noWrap/>
            <w:hideMark/>
          </w:tcPr>
          <w:p w14:paraId="633339DE"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8,769</w:t>
            </w:r>
          </w:p>
        </w:tc>
        <w:tc>
          <w:tcPr>
            <w:tcW w:w="1924" w:type="dxa"/>
            <w:noWrap/>
            <w:hideMark/>
          </w:tcPr>
          <w:p w14:paraId="3F3FE373"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803,297,137</w:t>
            </w:r>
          </w:p>
        </w:tc>
        <w:tc>
          <w:tcPr>
            <w:tcW w:w="2046" w:type="dxa"/>
            <w:noWrap/>
            <w:hideMark/>
          </w:tcPr>
          <w:p w14:paraId="1105788A" w14:textId="0141C3A1"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8,303,500,918</w:t>
            </w:r>
          </w:p>
        </w:tc>
        <w:tc>
          <w:tcPr>
            <w:tcW w:w="1744" w:type="dxa"/>
            <w:hideMark/>
          </w:tcPr>
          <w:p w14:paraId="19EDFDBB"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10.34</w:t>
            </w:r>
          </w:p>
        </w:tc>
      </w:tr>
      <w:tr w:rsidR="00BF744F" w:rsidRPr="00BD6196" w14:paraId="54DAF1F9"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5B7A7458"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2008/09</w:t>
            </w:r>
          </w:p>
        </w:tc>
        <w:tc>
          <w:tcPr>
            <w:tcW w:w="1400" w:type="dxa"/>
            <w:noWrap/>
            <w:hideMark/>
          </w:tcPr>
          <w:p w14:paraId="03CE36CE"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8,276</w:t>
            </w:r>
          </w:p>
        </w:tc>
        <w:tc>
          <w:tcPr>
            <w:tcW w:w="1924" w:type="dxa"/>
            <w:noWrap/>
            <w:hideMark/>
          </w:tcPr>
          <w:p w14:paraId="1919205B"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852,482,281</w:t>
            </w:r>
          </w:p>
        </w:tc>
        <w:tc>
          <w:tcPr>
            <w:tcW w:w="2046" w:type="dxa"/>
            <w:noWrap/>
            <w:hideMark/>
          </w:tcPr>
          <w:p w14:paraId="73FAFA47" w14:textId="52FA9DC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8,376,264,432</w:t>
            </w:r>
          </w:p>
        </w:tc>
        <w:tc>
          <w:tcPr>
            <w:tcW w:w="1744" w:type="dxa"/>
            <w:hideMark/>
          </w:tcPr>
          <w:p w14:paraId="7E6070F9"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9.83</w:t>
            </w:r>
          </w:p>
        </w:tc>
      </w:tr>
      <w:tr w:rsidR="00BF744F" w:rsidRPr="00BD6196" w14:paraId="001D85F6" w14:textId="77777777" w:rsidTr="00DB5B0C">
        <w:trPr>
          <w:trHeight w:val="258"/>
          <w:jc w:val="center"/>
        </w:trPr>
        <w:tc>
          <w:tcPr>
            <w:tcW w:w="1249" w:type="dxa"/>
            <w:noWrap/>
            <w:hideMark/>
          </w:tcPr>
          <w:p w14:paraId="6E81BE7D"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2009/10</w:t>
            </w:r>
          </w:p>
        </w:tc>
        <w:tc>
          <w:tcPr>
            <w:tcW w:w="1400" w:type="dxa"/>
            <w:noWrap/>
            <w:hideMark/>
          </w:tcPr>
          <w:p w14:paraId="0275A3DF"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8,072</w:t>
            </w:r>
          </w:p>
        </w:tc>
        <w:tc>
          <w:tcPr>
            <w:tcW w:w="1924" w:type="dxa"/>
            <w:noWrap/>
            <w:hideMark/>
          </w:tcPr>
          <w:p w14:paraId="761C4932"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897,727,347</w:t>
            </w:r>
          </w:p>
        </w:tc>
        <w:tc>
          <w:tcPr>
            <w:tcW w:w="2046" w:type="dxa"/>
            <w:noWrap/>
            <w:hideMark/>
          </w:tcPr>
          <w:p w14:paraId="3631034B" w14:textId="7383AE29"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8,621,421,130</w:t>
            </w:r>
          </w:p>
        </w:tc>
        <w:tc>
          <w:tcPr>
            <w:tcW w:w="1744" w:type="dxa"/>
            <w:hideMark/>
          </w:tcPr>
          <w:p w14:paraId="11583608"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9.6</w:t>
            </w:r>
          </w:p>
        </w:tc>
      </w:tr>
      <w:tr w:rsidR="00BF744F" w:rsidRPr="00BD6196" w14:paraId="0FA0F826"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07A8D290"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2010/11</w:t>
            </w:r>
          </w:p>
        </w:tc>
        <w:tc>
          <w:tcPr>
            <w:tcW w:w="1400" w:type="dxa"/>
            <w:noWrap/>
            <w:hideMark/>
          </w:tcPr>
          <w:p w14:paraId="72A2878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7,860</w:t>
            </w:r>
          </w:p>
        </w:tc>
        <w:tc>
          <w:tcPr>
            <w:tcW w:w="1924" w:type="dxa"/>
            <w:noWrap/>
            <w:hideMark/>
          </w:tcPr>
          <w:p w14:paraId="6036042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936,743,859</w:t>
            </w:r>
          </w:p>
        </w:tc>
        <w:tc>
          <w:tcPr>
            <w:tcW w:w="2046" w:type="dxa"/>
            <w:noWrap/>
            <w:hideMark/>
          </w:tcPr>
          <w:p w14:paraId="134A06B1" w14:textId="1DBD6284"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8,880,735,344</w:t>
            </w:r>
          </w:p>
        </w:tc>
        <w:tc>
          <w:tcPr>
            <w:tcW w:w="1744" w:type="dxa"/>
            <w:hideMark/>
          </w:tcPr>
          <w:p w14:paraId="19EF627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9.48</w:t>
            </w:r>
          </w:p>
        </w:tc>
      </w:tr>
      <w:tr w:rsidR="00BF744F" w:rsidRPr="00BD6196" w14:paraId="4CC12430" w14:textId="77777777" w:rsidTr="00DB5B0C">
        <w:trPr>
          <w:trHeight w:val="258"/>
          <w:jc w:val="center"/>
        </w:trPr>
        <w:tc>
          <w:tcPr>
            <w:tcW w:w="1249" w:type="dxa"/>
            <w:noWrap/>
            <w:hideMark/>
          </w:tcPr>
          <w:p w14:paraId="2D5C94E2"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2011/12</w:t>
            </w:r>
          </w:p>
        </w:tc>
        <w:tc>
          <w:tcPr>
            <w:tcW w:w="1400" w:type="dxa"/>
            <w:noWrap/>
            <w:hideMark/>
          </w:tcPr>
          <w:p w14:paraId="53C87C1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7,856</w:t>
            </w:r>
          </w:p>
        </w:tc>
        <w:tc>
          <w:tcPr>
            <w:tcW w:w="1924" w:type="dxa"/>
            <w:noWrap/>
            <w:hideMark/>
          </w:tcPr>
          <w:p w14:paraId="4D4D5DF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973,381,568</w:t>
            </w:r>
          </w:p>
        </w:tc>
        <w:tc>
          <w:tcPr>
            <w:tcW w:w="2046" w:type="dxa"/>
            <w:noWrap/>
            <w:hideMark/>
          </w:tcPr>
          <w:p w14:paraId="2C1A9DE1" w14:textId="0579331B"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8,777,964,802</w:t>
            </w:r>
          </w:p>
        </w:tc>
        <w:tc>
          <w:tcPr>
            <w:tcW w:w="1744" w:type="dxa"/>
            <w:hideMark/>
          </w:tcPr>
          <w:p w14:paraId="14278FB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9.02</w:t>
            </w:r>
          </w:p>
        </w:tc>
      </w:tr>
      <w:tr w:rsidR="00BF744F" w:rsidRPr="00BD6196" w14:paraId="340295B3"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289634EF" w14:textId="77777777" w:rsidR="00BF744F" w:rsidRPr="00BD6196" w:rsidRDefault="00BF744F" w:rsidP="00BD6196">
            <w:pPr>
              <w:spacing w:line="276" w:lineRule="auto"/>
              <w:rPr>
                <w:rFonts w:ascii="Arial" w:eastAsia="Times New Roman" w:hAnsi="Arial" w:cs="Arial"/>
                <w:bCs/>
                <w:color w:val="000000"/>
                <w:lang w:eastAsia="en-GB"/>
              </w:rPr>
            </w:pPr>
            <w:r w:rsidRPr="00BD6196">
              <w:rPr>
                <w:rFonts w:ascii="Arial" w:eastAsia="Times New Roman" w:hAnsi="Arial" w:cs="Arial"/>
                <w:bCs/>
                <w:color w:val="000000"/>
                <w:lang w:eastAsia="en-GB"/>
              </w:rPr>
              <w:t>2012/13</w:t>
            </w:r>
          </w:p>
        </w:tc>
        <w:tc>
          <w:tcPr>
            <w:tcW w:w="1400" w:type="dxa"/>
            <w:noWrap/>
            <w:hideMark/>
          </w:tcPr>
          <w:p w14:paraId="2579731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7,699</w:t>
            </w:r>
          </w:p>
        </w:tc>
        <w:tc>
          <w:tcPr>
            <w:tcW w:w="1924" w:type="dxa"/>
            <w:noWrap/>
            <w:hideMark/>
          </w:tcPr>
          <w:p w14:paraId="3F41110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1,001,825,994</w:t>
            </w:r>
          </w:p>
        </w:tc>
        <w:tc>
          <w:tcPr>
            <w:tcW w:w="2046" w:type="dxa"/>
            <w:noWrap/>
            <w:hideMark/>
          </w:tcPr>
          <w:p w14:paraId="3E36DA96" w14:textId="15AA3B6C"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8,397,492,181</w:t>
            </w:r>
          </w:p>
        </w:tc>
        <w:tc>
          <w:tcPr>
            <w:tcW w:w="1744" w:type="dxa"/>
            <w:hideMark/>
          </w:tcPr>
          <w:p w14:paraId="596C8A4D"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8.38</w:t>
            </w:r>
          </w:p>
        </w:tc>
      </w:tr>
      <w:tr w:rsidR="00BF744F" w:rsidRPr="00BD6196" w14:paraId="7F0A3A4D" w14:textId="77777777" w:rsidTr="00DB5B0C">
        <w:trPr>
          <w:trHeight w:val="258"/>
          <w:jc w:val="center"/>
        </w:trPr>
        <w:tc>
          <w:tcPr>
            <w:tcW w:w="1249" w:type="dxa"/>
            <w:noWrap/>
            <w:hideMark/>
          </w:tcPr>
          <w:p w14:paraId="6235B2D1" w14:textId="77777777" w:rsidR="00BF744F" w:rsidRPr="00BD6196" w:rsidRDefault="00BF744F" w:rsidP="00BD6196">
            <w:pPr>
              <w:spacing w:line="276" w:lineRule="auto"/>
              <w:rPr>
                <w:rFonts w:ascii="Arial" w:eastAsia="Times New Roman" w:hAnsi="Arial" w:cs="Arial"/>
                <w:bCs/>
                <w:color w:val="000000"/>
                <w:lang w:eastAsia="en-GB"/>
              </w:rPr>
            </w:pPr>
            <w:r w:rsidRPr="00BD6196">
              <w:rPr>
                <w:rFonts w:ascii="Arial" w:eastAsia="Times New Roman" w:hAnsi="Arial" w:cs="Arial"/>
                <w:bCs/>
                <w:color w:val="000000"/>
                <w:lang w:eastAsia="en-GB"/>
              </w:rPr>
              <w:t>2013/14</w:t>
            </w:r>
          </w:p>
        </w:tc>
        <w:tc>
          <w:tcPr>
            <w:tcW w:w="1400" w:type="dxa"/>
            <w:noWrap/>
            <w:hideMark/>
          </w:tcPr>
          <w:p w14:paraId="4119DE02"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7,353</w:t>
            </w:r>
          </w:p>
        </w:tc>
        <w:tc>
          <w:tcPr>
            <w:tcW w:w="1924" w:type="dxa"/>
            <w:noWrap/>
            <w:hideMark/>
          </w:tcPr>
          <w:p w14:paraId="1866C3A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1,031,703,347</w:t>
            </w:r>
          </w:p>
        </w:tc>
        <w:tc>
          <w:tcPr>
            <w:tcW w:w="2046" w:type="dxa"/>
            <w:noWrap/>
            <w:hideMark/>
          </w:tcPr>
          <w:p w14:paraId="396C97BD" w14:textId="3EB662F2"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8,540,423,964</w:t>
            </w:r>
          </w:p>
        </w:tc>
        <w:tc>
          <w:tcPr>
            <w:tcW w:w="1744" w:type="dxa"/>
            <w:hideMark/>
          </w:tcPr>
          <w:p w14:paraId="1605FEBC"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8.28</w:t>
            </w:r>
          </w:p>
        </w:tc>
      </w:tr>
      <w:tr w:rsidR="00BF744F" w:rsidRPr="00BD6196" w14:paraId="769542E6"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466B8B2B"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2013/14</w:t>
            </w:r>
            <w:r w:rsidRPr="00BD6196">
              <w:rPr>
                <w:rFonts w:ascii="Arial" w:eastAsia="Times New Roman" w:hAnsi="Arial" w:cs="Arial"/>
                <w:color w:val="000000"/>
                <w:vertAlign w:val="superscript"/>
                <w:lang w:eastAsia="en-GB"/>
              </w:rPr>
              <w:t>*</w:t>
            </w:r>
          </w:p>
        </w:tc>
        <w:tc>
          <w:tcPr>
            <w:tcW w:w="1400" w:type="dxa"/>
            <w:noWrap/>
            <w:hideMark/>
          </w:tcPr>
          <w:p w14:paraId="26C6B961"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7,809</w:t>
            </w:r>
          </w:p>
        </w:tc>
        <w:tc>
          <w:tcPr>
            <w:tcW w:w="1924" w:type="dxa"/>
            <w:noWrap/>
            <w:hideMark/>
          </w:tcPr>
          <w:p w14:paraId="30C28007"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1,039,535,998</w:t>
            </w:r>
          </w:p>
        </w:tc>
        <w:tc>
          <w:tcPr>
            <w:tcW w:w="2046" w:type="dxa"/>
            <w:noWrap/>
            <w:hideMark/>
          </w:tcPr>
          <w:p w14:paraId="30B65274" w14:textId="75FEA70B"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8,703,169,718</w:t>
            </w:r>
          </w:p>
        </w:tc>
        <w:tc>
          <w:tcPr>
            <w:tcW w:w="1744" w:type="dxa"/>
            <w:hideMark/>
          </w:tcPr>
          <w:p w14:paraId="5D85F1AC"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8.37</w:t>
            </w:r>
          </w:p>
        </w:tc>
      </w:tr>
      <w:tr w:rsidR="00BF744F" w:rsidRPr="00BD6196" w14:paraId="29F0C093" w14:textId="77777777" w:rsidTr="00DB5B0C">
        <w:trPr>
          <w:trHeight w:val="258"/>
          <w:jc w:val="center"/>
        </w:trPr>
        <w:tc>
          <w:tcPr>
            <w:tcW w:w="1249" w:type="dxa"/>
            <w:noWrap/>
            <w:hideMark/>
          </w:tcPr>
          <w:p w14:paraId="57347594"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2014/15</w:t>
            </w:r>
          </w:p>
        </w:tc>
        <w:tc>
          <w:tcPr>
            <w:tcW w:w="1400" w:type="dxa"/>
            <w:noWrap/>
            <w:hideMark/>
          </w:tcPr>
          <w:p w14:paraId="128F8AB5"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7,926</w:t>
            </w:r>
          </w:p>
        </w:tc>
        <w:tc>
          <w:tcPr>
            <w:tcW w:w="1924" w:type="dxa"/>
            <w:noWrap/>
            <w:hideMark/>
          </w:tcPr>
          <w:p w14:paraId="27C8F05C"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1,071,065,672</w:t>
            </w:r>
          </w:p>
        </w:tc>
        <w:tc>
          <w:tcPr>
            <w:tcW w:w="2046" w:type="dxa"/>
            <w:noWrap/>
            <w:hideMark/>
          </w:tcPr>
          <w:p w14:paraId="62B9D283" w14:textId="455B35A0"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8,942,734,216</w:t>
            </w:r>
          </w:p>
        </w:tc>
        <w:tc>
          <w:tcPr>
            <w:tcW w:w="1744" w:type="dxa"/>
            <w:hideMark/>
          </w:tcPr>
          <w:p w14:paraId="0DCDC44F"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8.35</w:t>
            </w:r>
          </w:p>
        </w:tc>
      </w:tr>
      <w:tr w:rsidR="00BF744F" w:rsidRPr="00BD6196" w14:paraId="6AD33B15"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hideMark/>
          </w:tcPr>
          <w:p w14:paraId="141891E2"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2015/16</w:t>
            </w:r>
          </w:p>
        </w:tc>
        <w:tc>
          <w:tcPr>
            <w:tcW w:w="1400" w:type="dxa"/>
            <w:noWrap/>
            <w:hideMark/>
          </w:tcPr>
          <w:p w14:paraId="0DA153B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8,021</w:t>
            </w:r>
          </w:p>
        </w:tc>
        <w:tc>
          <w:tcPr>
            <w:tcW w:w="1924" w:type="dxa"/>
            <w:noWrap/>
            <w:hideMark/>
          </w:tcPr>
          <w:p w14:paraId="011520F9"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1,087,838,465</w:t>
            </w:r>
          </w:p>
        </w:tc>
        <w:tc>
          <w:tcPr>
            <w:tcW w:w="2046" w:type="dxa"/>
            <w:noWrap/>
            <w:hideMark/>
          </w:tcPr>
          <w:p w14:paraId="229E983F" w14:textId="572512DD"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9,288,424,660</w:t>
            </w:r>
          </w:p>
        </w:tc>
        <w:tc>
          <w:tcPr>
            <w:tcW w:w="1744" w:type="dxa"/>
            <w:hideMark/>
          </w:tcPr>
          <w:p w14:paraId="39436DAC"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8.54</w:t>
            </w:r>
          </w:p>
        </w:tc>
      </w:tr>
      <w:tr w:rsidR="00BF744F" w:rsidRPr="00BD6196" w14:paraId="15C0D670" w14:textId="77777777" w:rsidTr="00DB5B0C">
        <w:trPr>
          <w:trHeight w:val="258"/>
          <w:jc w:val="center"/>
        </w:trPr>
        <w:tc>
          <w:tcPr>
            <w:tcW w:w="1249" w:type="dxa"/>
            <w:noWrap/>
            <w:hideMark/>
          </w:tcPr>
          <w:p w14:paraId="448E83D3"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2016/17</w:t>
            </w:r>
          </w:p>
        </w:tc>
        <w:tc>
          <w:tcPr>
            <w:tcW w:w="1400" w:type="dxa"/>
            <w:noWrap/>
            <w:hideMark/>
          </w:tcPr>
          <w:p w14:paraId="2A63FE69"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8,147</w:t>
            </w:r>
          </w:p>
        </w:tc>
        <w:tc>
          <w:tcPr>
            <w:tcW w:w="1924" w:type="dxa"/>
            <w:hideMark/>
          </w:tcPr>
          <w:p w14:paraId="5923C3EE"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1,108,965,909</w:t>
            </w:r>
          </w:p>
        </w:tc>
        <w:tc>
          <w:tcPr>
            <w:tcW w:w="2046" w:type="dxa"/>
            <w:hideMark/>
          </w:tcPr>
          <w:p w14:paraId="4C206DBB" w14:textId="44519D06"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9,193,912,893</w:t>
            </w:r>
          </w:p>
        </w:tc>
        <w:tc>
          <w:tcPr>
            <w:tcW w:w="1744" w:type="dxa"/>
            <w:hideMark/>
          </w:tcPr>
          <w:p w14:paraId="131E8AD5"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8.29</w:t>
            </w:r>
          </w:p>
        </w:tc>
      </w:tr>
      <w:tr w:rsidR="00BF744F" w:rsidRPr="00BD6196" w14:paraId="1576FA45" w14:textId="77777777" w:rsidTr="00DB5B0C">
        <w:trPr>
          <w:cnfStyle w:val="000000100000" w:firstRow="0" w:lastRow="0" w:firstColumn="0" w:lastColumn="0" w:oddVBand="0" w:evenVBand="0" w:oddHBand="1" w:evenHBand="0" w:firstRowFirstColumn="0" w:firstRowLastColumn="0" w:lastRowFirstColumn="0" w:lastRowLastColumn="0"/>
          <w:trHeight w:val="258"/>
          <w:jc w:val="center"/>
        </w:trPr>
        <w:tc>
          <w:tcPr>
            <w:tcW w:w="1249" w:type="dxa"/>
            <w:noWrap/>
          </w:tcPr>
          <w:p w14:paraId="21EF3DFD" w14:textId="77777777" w:rsidR="00BF744F" w:rsidRPr="00BD6196" w:rsidRDefault="00BF744F" w:rsidP="00BD6196">
            <w:pPr>
              <w:spacing w:line="276" w:lineRule="auto"/>
              <w:rPr>
                <w:rFonts w:ascii="Arial" w:eastAsia="Times New Roman" w:hAnsi="Arial" w:cs="Arial"/>
                <w:color w:val="000000"/>
                <w:lang w:eastAsia="en-GB"/>
              </w:rPr>
            </w:pPr>
            <w:r w:rsidRPr="00BD6196">
              <w:rPr>
                <w:rFonts w:ascii="Arial" w:eastAsia="Times New Roman" w:hAnsi="Arial" w:cs="Arial"/>
                <w:color w:val="000000"/>
                <w:lang w:eastAsia="en-GB"/>
              </w:rPr>
              <w:t>2017/18</w:t>
            </w:r>
          </w:p>
        </w:tc>
        <w:tc>
          <w:tcPr>
            <w:tcW w:w="1400" w:type="dxa"/>
            <w:noWrap/>
          </w:tcPr>
          <w:p w14:paraId="7229C855"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7,803</w:t>
            </w:r>
          </w:p>
        </w:tc>
        <w:tc>
          <w:tcPr>
            <w:tcW w:w="1924" w:type="dxa"/>
          </w:tcPr>
          <w:p w14:paraId="47F75246"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1,106,431,880</w:t>
            </w:r>
          </w:p>
        </w:tc>
        <w:tc>
          <w:tcPr>
            <w:tcW w:w="2046" w:type="dxa"/>
          </w:tcPr>
          <w:p w14:paraId="761C28C2" w14:textId="0A01C8DF"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9,095,228,060</w:t>
            </w:r>
          </w:p>
        </w:tc>
        <w:tc>
          <w:tcPr>
            <w:tcW w:w="1744" w:type="dxa"/>
          </w:tcPr>
          <w:p w14:paraId="315498CF" w14:textId="77777777" w:rsidR="00BF744F" w:rsidRPr="00BD6196" w:rsidRDefault="00BF744F" w:rsidP="00BD6196">
            <w:pPr>
              <w:spacing w:line="276" w:lineRule="auto"/>
              <w:jc w:val="center"/>
              <w:rPr>
                <w:rFonts w:ascii="Arial" w:eastAsia="Times New Roman" w:hAnsi="Arial" w:cs="Arial"/>
                <w:color w:val="000000"/>
                <w:lang w:eastAsia="en-GB"/>
              </w:rPr>
            </w:pPr>
            <w:r w:rsidRPr="00BD6196">
              <w:rPr>
                <w:rFonts w:ascii="Arial" w:eastAsia="Times New Roman" w:hAnsi="Arial" w:cs="Arial"/>
                <w:color w:val="000000"/>
                <w:lang w:eastAsia="en-GB"/>
              </w:rPr>
              <w:t>8.22</w:t>
            </w:r>
          </w:p>
        </w:tc>
      </w:tr>
    </w:tbl>
    <w:p w14:paraId="4D18CC9F" w14:textId="77777777" w:rsidR="0088429A" w:rsidRPr="00BD6196" w:rsidRDefault="00DB5B0C" w:rsidP="00BD6196">
      <w:pPr>
        <w:pStyle w:val="ListParagraph"/>
        <w:spacing w:line="276" w:lineRule="auto"/>
        <w:ind w:left="360"/>
        <w:rPr>
          <w:rFonts w:ascii="Arial" w:hAnsi="Arial" w:cs="Arial"/>
          <w:sz w:val="20"/>
        </w:rPr>
      </w:pPr>
      <w:r w:rsidRPr="00BD6196">
        <w:rPr>
          <w:rFonts w:ascii="Arial" w:hAnsi="Arial" w:cs="Arial"/>
          <w:sz w:val="20"/>
        </w:rPr>
        <w:t xml:space="preserve">Note: * In February 2017, NHS Digital released a new set of prescribing data to include previously omitted drug codes. The 12/13-13/14 growth figures for prescribing are based on the earlier data; whilst the 13/14-14/15 growth figures are based on the new data. </w:t>
      </w:r>
    </w:p>
    <w:p w14:paraId="70FDB5FA" w14:textId="3AB58BC7" w:rsidR="00BF744F" w:rsidRPr="00BD6196" w:rsidRDefault="00DB5B0C" w:rsidP="00BD6196">
      <w:pPr>
        <w:pStyle w:val="ListParagraph"/>
        <w:spacing w:line="276" w:lineRule="auto"/>
        <w:ind w:left="360"/>
        <w:rPr>
          <w:rFonts w:ascii="Arial" w:hAnsi="Arial" w:cs="Arial"/>
          <w:sz w:val="20"/>
        </w:rPr>
      </w:pPr>
      <w:r w:rsidRPr="00BD6196">
        <w:rPr>
          <w:rFonts w:ascii="Arial" w:hAnsi="Arial" w:cs="Arial"/>
          <w:sz w:val="20"/>
        </w:rPr>
        <w:t xml:space="preserve">Source: </w:t>
      </w:r>
      <w:r w:rsidR="0088429A" w:rsidRPr="00BD6196">
        <w:rPr>
          <w:rFonts w:ascii="Arial" w:hAnsi="Arial" w:cs="Arial"/>
          <w:sz w:val="20"/>
        </w:rPr>
        <w:t xml:space="preserve">This table is taken from </w:t>
      </w:r>
      <w:r w:rsidR="008043D6" w:rsidRPr="00BD6196">
        <w:rPr>
          <w:rFonts w:ascii="Arial" w:hAnsi="Arial" w:cs="Arial"/>
          <w:sz w:val="20"/>
        </w:rPr>
        <w:t xml:space="preserve">a </w:t>
      </w:r>
      <w:r w:rsidR="0088429A" w:rsidRPr="00BD6196">
        <w:rPr>
          <w:rFonts w:ascii="Arial" w:hAnsi="Arial" w:cs="Arial"/>
          <w:sz w:val="20"/>
        </w:rPr>
        <w:t>York CHE</w:t>
      </w:r>
      <w:r w:rsidR="008043D6" w:rsidRPr="00BD6196">
        <w:rPr>
          <w:rFonts w:ascii="Arial" w:hAnsi="Arial" w:cs="Arial"/>
          <w:sz w:val="20"/>
        </w:rPr>
        <w:t xml:space="preserve"> memo</w:t>
      </w:r>
      <w:r w:rsidR="0088429A" w:rsidRPr="00BD6196">
        <w:rPr>
          <w:rFonts w:ascii="Arial" w:hAnsi="Arial" w:cs="Arial"/>
          <w:sz w:val="20"/>
        </w:rPr>
        <w:t xml:space="preserve">. They used data from the </w:t>
      </w:r>
      <w:r w:rsidRPr="00BD6196">
        <w:rPr>
          <w:rFonts w:ascii="Arial" w:hAnsi="Arial" w:cs="Arial"/>
          <w:sz w:val="20"/>
        </w:rPr>
        <w:t>PCA System.</w:t>
      </w:r>
    </w:p>
    <w:p w14:paraId="34D2F3C8" w14:textId="77777777" w:rsidR="005117BB" w:rsidRPr="00BD6196" w:rsidRDefault="005117BB" w:rsidP="00BD6196">
      <w:pPr>
        <w:pStyle w:val="ListParagraph"/>
        <w:spacing w:line="276" w:lineRule="auto"/>
        <w:ind w:left="360"/>
        <w:rPr>
          <w:rFonts w:ascii="Arial" w:hAnsi="Arial" w:cs="Arial"/>
          <w:sz w:val="24"/>
        </w:rPr>
      </w:pPr>
    </w:p>
    <w:p w14:paraId="3FE0D876" w14:textId="62965C9F" w:rsidR="00C761DC" w:rsidRPr="00BD6196" w:rsidRDefault="00DB5B0C" w:rsidP="00BD6196">
      <w:pPr>
        <w:pStyle w:val="ListParagraph"/>
        <w:numPr>
          <w:ilvl w:val="0"/>
          <w:numId w:val="6"/>
        </w:numPr>
        <w:spacing w:line="276" w:lineRule="auto"/>
        <w:rPr>
          <w:rFonts w:ascii="Arial" w:hAnsi="Arial" w:cs="Arial"/>
          <w:sz w:val="24"/>
        </w:rPr>
      </w:pPr>
      <w:r w:rsidRPr="00BD6196">
        <w:rPr>
          <w:rFonts w:ascii="Arial" w:hAnsi="Arial" w:cs="Arial"/>
          <w:sz w:val="24"/>
        </w:rPr>
        <w:lastRenderedPageBreak/>
        <w:t xml:space="preserve">This is the most detailed source of prescription prices. Hence </w:t>
      </w:r>
      <w:r w:rsidR="00B62A5F" w:rsidRPr="00BD6196">
        <w:rPr>
          <w:rFonts w:ascii="Arial" w:hAnsi="Arial" w:cs="Arial"/>
          <w:sz w:val="24"/>
        </w:rPr>
        <w:t xml:space="preserve">York’s measure of prescription price change is </w:t>
      </w:r>
      <w:r w:rsidRPr="00BD6196">
        <w:rPr>
          <w:rFonts w:ascii="Arial" w:hAnsi="Arial" w:cs="Arial"/>
          <w:sz w:val="24"/>
        </w:rPr>
        <w:t xml:space="preserve">an informed measure of </w:t>
      </w:r>
      <w:r w:rsidR="00B62A5F" w:rsidRPr="00BD6196">
        <w:rPr>
          <w:rFonts w:ascii="Arial" w:hAnsi="Arial" w:cs="Arial"/>
          <w:sz w:val="24"/>
        </w:rPr>
        <w:t xml:space="preserve">inflation in </w:t>
      </w:r>
      <w:r w:rsidRPr="00BD6196">
        <w:rPr>
          <w:rFonts w:ascii="Arial" w:hAnsi="Arial" w:cs="Arial"/>
          <w:sz w:val="24"/>
        </w:rPr>
        <w:t xml:space="preserve">prescribing. </w:t>
      </w:r>
    </w:p>
    <w:p w14:paraId="454B8AB9" w14:textId="77777777" w:rsidR="00BD6196" w:rsidRPr="00BD6196" w:rsidRDefault="00BD6196" w:rsidP="00BD6196">
      <w:pPr>
        <w:spacing w:line="276" w:lineRule="auto"/>
        <w:rPr>
          <w:rFonts w:ascii="Arial" w:hAnsi="Arial" w:cs="Arial"/>
          <w:sz w:val="24"/>
        </w:rPr>
      </w:pPr>
    </w:p>
    <w:p w14:paraId="472953B0" w14:textId="7547C452" w:rsidR="00C761DC" w:rsidRPr="00BD6196" w:rsidRDefault="00330186" w:rsidP="00BD6196">
      <w:pPr>
        <w:spacing w:line="276" w:lineRule="auto"/>
        <w:rPr>
          <w:rFonts w:ascii="Arial" w:hAnsi="Arial" w:cs="Arial"/>
          <w:b/>
          <w:sz w:val="28"/>
        </w:rPr>
      </w:pPr>
      <w:r w:rsidRPr="00BD6196">
        <w:rPr>
          <w:rFonts w:ascii="Arial" w:hAnsi="Arial" w:cs="Arial"/>
          <w:b/>
          <w:sz w:val="28"/>
        </w:rPr>
        <w:t xml:space="preserve">Dentistry </w:t>
      </w:r>
    </w:p>
    <w:p w14:paraId="1674DF4F" w14:textId="17DCD724" w:rsidR="00A54003" w:rsidRPr="00A54003" w:rsidRDefault="00A54003" w:rsidP="007D4C25">
      <w:pPr>
        <w:pStyle w:val="ListParagraph"/>
        <w:numPr>
          <w:ilvl w:val="0"/>
          <w:numId w:val="6"/>
        </w:numPr>
        <w:spacing w:before="240" w:line="276" w:lineRule="auto"/>
        <w:rPr>
          <w:rFonts w:ascii="Arial" w:hAnsi="Arial" w:cs="Arial"/>
          <w:sz w:val="24"/>
          <w:szCs w:val="24"/>
        </w:rPr>
      </w:pPr>
      <w:r w:rsidRPr="00A54003">
        <w:rPr>
          <w:rFonts w:ascii="Arial" w:hAnsi="Arial" w:cs="Arial"/>
          <w:sz w:val="24"/>
        </w:rPr>
        <w:t>Total Dentistry expenditure as per DHSC accounts can be split into pay (</w:t>
      </w:r>
      <w:r w:rsidR="00003872">
        <w:rPr>
          <w:rFonts w:ascii="Arial" w:hAnsi="Arial" w:cs="Arial"/>
          <w:sz w:val="24"/>
        </w:rPr>
        <w:t>60</w:t>
      </w:r>
      <w:r w:rsidRPr="00A54003">
        <w:rPr>
          <w:rFonts w:ascii="Arial" w:hAnsi="Arial" w:cs="Arial"/>
          <w:sz w:val="24"/>
        </w:rPr>
        <w:t>% of spend) and non-pay (4</w:t>
      </w:r>
      <w:r w:rsidR="00003872">
        <w:rPr>
          <w:rFonts w:ascii="Arial" w:hAnsi="Arial" w:cs="Arial"/>
          <w:sz w:val="24"/>
        </w:rPr>
        <w:t>0</w:t>
      </w:r>
      <w:r w:rsidRPr="00A54003">
        <w:rPr>
          <w:rFonts w:ascii="Arial" w:hAnsi="Arial" w:cs="Arial"/>
          <w:sz w:val="24"/>
        </w:rPr>
        <w:t xml:space="preserve">% of spend) using dentist staff volume and unit costs to calculate total spend on dentists. </w:t>
      </w:r>
    </w:p>
    <w:p w14:paraId="4171B091" w14:textId="60B075F2" w:rsidR="00A54003" w:rsidRDefault="00A54003" w:rsidP="00A54003">
      <w:pPr>
        <w:pStyle w:val="ListParagraph"/>
        <w:spacing w:before="240" w:line="276" w:lineRule="auto"/>
        <w:ind w:left="360"/>
        <w:rPr>
          <w:rFonts w:ascii="Arial" w:hAnsi="Arial" w:cs="Arial"/>
          <w:sz w:val="24"/>
          <w:szCs w:val="24"/>
        </w:rPr>
      </w:pPr>
    </w:p>
    <w:p w14:paraId="1CA79652" w14:textId="02A2EC52" w:rsidR="00A54003" w:rsidRPr="008A1D58" w:rsidRDefault="00A54003" w:rsidP="00A54003">
      <w:pPr>
        <w:spacing w:after="0" w:line="276" w:lineRule="auto"/>
        <w:jc w:val="center"/>
        <w:rPr>
          <w:rFonts w:ascii="Arial" w:hAnsi="Arial" w:cs="Arial"/>
          <w:sz w:val="24"/>
        </w:rPr>
      </w:pPr>
      <w:r w:rsidRPr="008A1D58">
        <w:rPr>
          <w:rFonts w:ascii="Arial" w:hAnsi="Arial" w:cs="Arial"/>
          <w:sz w:val="24"/>
          <w:u w:val="single"/>
        </w:rPr>
        <w:t>Table: Dentistry spend</w:t>
      </w:r>
      <w:r w:rsidR="008A1D58">
        <w:rPr>
          <w:rFonts w:ascii="Arial" w:hAnsi="Arial" w:cs="Arial"/>
          <w:sz w:val="24"/>
          <w:u w:val="single"/>
        </w:rPr>
        <w:t xml:space="preserve"> (£m)</w:t>
      </w:r>
    </w:p>
    <w:tbl>
      <w:tblPr>
        <w:tblStyle w:val="TableGrid"/>
        <w:tblW w:w="7155" w:type="dxa"/>
        <w:jc w:val="center"/>
        <w:tblLook w:val="04A0" w:firstRow="1" w:lastRow="0" w:firstColumn="1" w:lastColumn="0" w:noHBand="0" w:noVBand="1"/>
      </w:tblPr>
      <w:tblGrid>
        <w:gridCol w:w="1890"/>
        <w:gridCol w:w="1574"/>
        <w:gridCol w:w="1294"/>
        <w:gridCol w:w="1294"/>
        <w:gridCol w:w="1103"/>
      </w:tblGrid>
      <w:tr w:rsidR="008A1D58" w:rsidRPr="000A2F02" w14:paraId="52789640" w14:textId="21B8B7CD" w:rsidTr="000903C6">
        <w:trPr>
          <w:trHeight w:val="102"/>
          <w:jc w:val="center"/>
        </w:trPr>
        <w:tc>
          <w:tcPr>
            <w:tcW w:w="1890" w:type="dxa"/>
            <w:noWrap/>
          </w:tcPr>
          <w:p w14:paraId="643E793D" w14:textId="77777777" w:rsidR="008A1D58" w:rsidRPr="000A2F02" w:rsidRDefault="008A1D58" w:rsidP="007D4C25">
            <w:pPr>
              <w:spacing w:line="276" w:lineRule="auto"/>
              <w:jc w:val="right"/>
              <w:rPr>
                <w:rFonts w:ascii="Arial" w:hAnsi="Arial" w:cs="Arial"/>
                <w:szCs w:val="24"/>
              </w:rPr>
            </w:pPr>
          </w:p>
        </w:tc>
        <w:tc>
          <w:tcPr>
            <w:tcW w:w="1574" w:type="dxa"/>
            <w:noWrap/>
          </w:tcPr>
          <w:p w14:paraId="4BBE14DE" w14:textId="77777777" w:rsidR="008A1D58" w:rsidRPr="000A2F02" w:rsidRDefault="008A1D58" w:rsidP="007D4C25">
            <w:pPr>
              <w:spacing w:line="276" w:lineRule="auto"/>
              <w:jc w:val="right"/>
              <w:rPr>
                <w:rFonts w:ascii="Arial" w:hAnsi="Arial" w:cs="Arial"/>
                <w:b/>
                <w:szCs w:val="24"/>
              </w:rPr>
            </w:pPr>
            <w:r w:rsidRPr="000A2F02">
              <w:rPr>
                <w:rFonts w:ascii="Arial" w:hAnsi="Arial" w:cs="Arial"/>
                <w:b/>
                <w:szCs w:val="24"/>
              </w:rPr>
              <w:t>15/16</w:t>
            </w:r>
          </w:p>
        </w:tc>
        <w:tc>
          <w:tcPr>
            <w:tcW w:w="1294" w:type="dxa"/>
            <w:noWrap/>
          </w:tcPr>
          <w:p w14:paraId="56335E37" w14:textId="77777777" w:rsidR="008A1D58" w:rsidRPr="000A2F02" w:rsidRDefault="008A1D58" w:rsidP="007D4C25">
            <w:pPr>
              <w:spacing w:line="276" w:lineRule="auto"/>
              <w:jc w:val="right"/>
              <w:rPr>
                <w:rFonts w:ascii="Arial" w:hAnsi="Arial" w:cs="Arial"/>
                <w:b/>
                <w:szCs w:val="24"/>
              </w:rPr>
            </w:pPr>
            <w:r w:rsidRPr="000A2F02">
              <w:rPr>
                <w:rFonts w:ascii="Arial" w:hAnsi="Arial" w:cs="Arial"/>
                <w:b/>
                <w:szCs w:val="24"/>
              </w:rPr>
              <w:t>16/17</w:t>
            </w:r>
          </w:p>
        </w:tc>
        <w:tc>
          <w:tcPr>
            <w:tcW w:w="1294" w:type="dxa"/>
            <w:noWrap/>
          </w:tcPr>
          <w:p w14:paraId="0BB24E75" w14:textId="77777777" w:rsidR="008A1D58" w:rsidRPr="000A2F02" w:rsidRDefault="008A1D58" w:rsidP="007D4C25">
            <w:pPr>
              <w:spacing w:line="276" w:lineRule="auto"/>
              <w:jc w:val="right"/>
              <w:rPr>
                <w:rFonts w:ascii="Arial" w:hAnsi="Arial" w:cs="Arial"/>
                <w:b/>
                <w:szCs w:val="24"/>
              </w:rPr>
            </w:pPr>
            <w:r w:rsidRPr="000A2F02">
              <w:rPr>
                <w:rFonts w:ascii="Arial" w:hAnsi="Arial" w:cs="Arial"/>
                <w:b/>
                <w:szCs w:val="24"/>
              </w:rPr>
              <w:t>17/18</w:t>
            </w:r>
          </w:p>
        </w:tc>
        <w:tc>
          <w:tcPr>
            <w:tcW w:w="1103" w:type="dxa"/>
          </w:tcPr>
          <w:p w14:paraId="466FEC58" w14:textId="46C7D2EE" w:rsidR="008A1D58" w:rsidRPr="000A2F02" w:rsidRDefault="008A1D58" w:rsidP="007D4C25">
            <w:pPr>
              <w:spacing w:line="276" w:lineRule="auto"/>
              <w:jc w:val="right"/>
              <w:rPr>
                <w:rFonts w:ascii="Arial" w:hAnsi="Arial" w:cs="Arial"/>
                <w:b/>
                <w:szCs w:val="24"/>
              </w:rPr>
            </w:pPr>
            <w:r>
              <w:rPr>
                <w:rFonts w:ascii="Arial" w:hAnsi="Arial" w:cs="Arial"/>
                <w:b/>
                <w:szCs w:val="24"/>
              </w:rPr>
              <w:t>18/19</w:t>
            </w:r>
          </w:p>
        </w:tc>
      </w:tr>
      <w:tr w:rsidR="008A1D58" w:rsidRPr="000A2F02" w14:paraId="311E07C5" w14:textId="4ECAC0A3" w:rsidTr="000903C6">
        <w:trPr>
          <w:trHeight w:val="102"/>
          <w:jc w:val="center"/>
        </w:trPr>
        <w:tc>
          <w:tcPr>
            <w:tcW w:w="1890" w:type="dxa"/>
            <w:noWrap/>
            <w:hideMark/>
          </w:tcPr>
          <w:p w14:paraId="7728F47B" w14:textId="7953085C" w:rsidR="008A1D58" w:rsidRPr="000A2F02" w:rsidRDefault="008A1D58" w:rsidP="008A1D58">
            <w:pPr>
              <w:spacing w:line="276" w:lineRule="auto"/>
              <w:jc w:val="right"/>
              <w:rPr>
                <w:rFonts w:ascii="Arial" w:hAnsi="Arial" w:cs="Arial"/>
                <w:szCs w:val="24"/>
              </w:rPr>
            </w:pPr>
            <w:r w:rsidRPr="000A2F02">
              <w:rPr>
                <w:rFonts w:ascii="Arial" w:hAnsi="Arial" w:cs="Arial"/>
                <w:szCs w:val="24"/>
              </w:rPr>
              <w:t>Total Dentistry</w:t>
            </w:r>
          </w:p>
        </w:tc>
        <w:tc>
          <w:tcPr>
            <w:tcW w:w="1574" w:type="dxa"/>
            <w:noWrap/>
            <w:hideMark/>
          </w:tcPr>
          <w:p w14:paraId="79380DB6" w14:textId="1CA5D456" w:rsidR="008A1D58" w:rsidRPr="008A1D58" w:rsidRDefault="008A1D58" w:rsidP="008A1D58">
            <w:pPr>
              <w:spacing w:line="276" w:lineRule="auto"/>
              <w:jc w:val="right"/>
              <w:rPr>
                <w:rFonts w:ascii="Arial" w:hAnsi="Arial" w:cs="Arial"/>
                <w:szCs w:val="24"/>
              </w:rPr>
            </w:pPr>
            <w:r w:rsidRPr="008A1D58">
              <w:rPr>
                <w:rFonts w:ascii="Arial" w:hAnsi="Arial" w:cs="Arial"/>
              </w:rPr>
              <w:t xml:space="preserve"> 2,804 </w:t>
            </w:r>
          </w:p>
        </w:tc>
        <w:tc>
          <w:tcPr>
            <w:tcW w:w="1294" w:type="dxa"/>
            <w:noWrap/>
            <w:hideMark/>
          </w:tcPr>
          <w:p w14:paraId="76730935" w14:textId="582D0DFB" w:rsidR="008A1D58" w:rsidRPr="008A1D58" w:rsidRDefault="008A1D58" w:rsidP="008A1D58">
            <w:pPr>
              <w:spacing w:line="276" w:lineRule="auto"/>
              <w:jc w:val="right"/>
              <w:rPr>
                <w:rFonts w:ascii="Arial" w:hAnsi="Arial" w:cs="Arial"/>
                <w:szCs w:val="24"/>
              </w:rPr>
            </w:pPr>
            <w:r w:rsidRPr="008A1D58">
              <w:rPr>
                <w:rFonts w:ascii="Arial" w:hAnsi="Arial" w:cs="Arial"/>
              </w:rPr>
              <w:t xml:space="preserve"> 2,768 </w:t>
            </w:r>
          </w:p>
        </w:tc>
        <w:tc>
          <w:tcPr>
            <w:tcW w:w="1294" w:type="dxa"/>
            <w:noWrap/>
            <w:hideMark/>
          </w:tcPr>
          <w:p w14:paraId="36352D77" w14:textId="2A6FAE94" w:rsidR="008A1D58" w:rsidRPr="008A1D58" w:rsidRDefault="008A1D58" w:rsidP="008A1D58">
            <w:pPr>
              <w:spacing w:line="276" w:lineRule="auto"/>
              <w:jc w:val="right"/>
              <w:rPr>
                <w:rFonts w:ascii="Arial" w:hAnsi="Arial" w:cs="Arial"/>
                <w:szCs w:val="24"/>
              </w:rPr>
            </w:pPr>
            <w:r w:rsidRPr="008A1D58">
              <w:rPr>
                <w:rFonts w:ascii="Arial" w:hAnsi="Arial" w:cs="Arial"/>
              </w:rPr>
              <w:t xml:space="preserve"> 2,812 </w:t>
            </w:r>
          </w:p>
        </w:tc>
        <w:tc>
          <w:tcPr>
            <w:tcW w:w="1103" w:type="dxa"/>
          </w:tcPr>
          <w:p w14:paraId="534D10CB" w14:textId="19892D46" w:rsidR="008A1D58" w:rsidRPr="008A1D58" w:rsidRDefault="008A1D58" w:rsidP="008A1D58">
            <w:pPr>
              <w:spacing w:line="276" w:lineRule="auto"/>
              <w:jc w:val="right"/>
              <w:rPr>
                <w:rFonts w:ascii="Arial" w:hAnsi="Arial" w:cs="Arial"/>
              </w:rPr>
            </w:pPr>
            <w:r w:rsidRPr="008A1D58">
              <w:rPr>
                <w:rFonts w:ascii="Arial" w:hAnsi="Arial" w:cs="Arial"/>
              </w:rPr>
              <w:t xml:space="preserve"> 2,788 </w:t>
            </w:r>
          </w:p>
        </w:tc>
      </w:tr>
      <w:tr w:rsidR="008A1D58" w:rsidRPr="000A2F02" w14:paraId="50B99A0B" w14:textId="4E8A24F2" w:rsidTr="000903C6">
        <w:trPr>
          <w:trHeight w:val="102"/>
          <w:jc w:val="center"/>
        </w:trPr>
        <w:tc>
          <w:tcPr>
            <w:tcW w:w="1890" w:type="dxa"/>
            <w:noWrap/>
            <w:hideMark/>
          </w:tcPr>
          <w:p w14:paraId="681CECBA" w14:textId="4D125058" w:rsidR="008A1D58" w:rsidRPr="000A2F02" w:rsidRDefault="008A1D58" w:rsidP="008A1D58">
            <w:pPr>
              <w:spacing w:line="276" w:lineRule="auto"/>
              <w:jc w:val="right"/>
              <w:rPr>
                <w:rFonts w:ascii="Arial" w:hAnsi="Arial" w:cs="Arial"/>
                <w:szCs w:val="24"/>
              </w:rPr>
            </w:pPr>
            <w:r w:rsidRPr="000A2F02">
              <w:rPr>
                <w:rFonts w:ascii="Arial" w:hAnsi="Arial" w:cs="Arial"/>
                <w:szCs w:val="24"/>
              </w:rPr>
              <w:t>Dentists</w:t>
            </w:r>
          </w:p>
        </w:tc>
        <w:tc>
          <w:tcPr>
            <w:tcW w:w="1574" w:type="dxa"/>
            <w:noWrap/>
            <w:hideMark/>
          </w:tcPr>
          <w:p w14:paraId="38B28572" w14:textId="4AC02E68" w:rsidR="008A1D58" w:rsidRPr="008A1D58" w:rsidRDefault="008A1D58" w:rsidP="008A1D58">
            <w:pPr>
              <w:pStyle w:val="ListParagraph"/>
              <w:spacing w:line="276" w:lineRule="auto"/>
              <w:ind w:left="360"/>
              <w:jc w:val="right"/>
              <w:rPr>
                <w:rFonts w:ascii="Arial" w:hAnsi="Arial" w:cs="Arial"/>
                <w:szCs w:val="24"/>
              </w:rPr>
            </w:pPr>
            <w:r w:rsidRPr="008A1D58">
              <w:rPr>
                <w:rFonts w:ascii="Arial" w:hAnsi="Arial" w:cs="Arial"/>
              </w:rPr>
              <w:t xml:space="preserve"> 1,674 </w:t>
            </w:r>
          </w:p>
        </w:tc>
        <w:tc>
          <w:tcPr>
            <w:tcW w:w="1294" w:type="dxa"/>
            <w:noWrap/>
            <w:hideMark/>
          </w:tcPr>
          <w:p w14:paraId="33B63324" w14:textId="151190CD" w:rsidR="008A1D58" w:rsidRPr="008A1D58" w:rsidRDefault="008A1D58" w:rsidP="008A1D58">
            <w:pPr>
              <w:spacing w:line="276" w:lineRule="auto"/>
              <w:jc w:val="right"/>
              <w:rPr>
                <w:rFonts w:ascii="Arial" w:hAnsi="Arial" w:cs="Arial"/>
                <w:szCs w:val="24"/>
              </w:rPr>
            </w:pPr>
            <w:r w:rsidRPr="008A1D58">
              <w:rPr>
                <w:rFonts w:ascii="Arial" w:hAnsi="Arial" w:cs="Arial"/>
              </w:rPr>
              <w:t xml:space="preserve"> 1,656 </w:t>
            </w:r>
          </w:p>
        </w:tc>
        <w:tc>
          <w:tcPr>
            <w:tcW w:w="1294" w:type="dxa"/>
            <w:noWrap/>
            <w:hideMark/>
          </w:tcPr>
          <w:p w14:paraId="6FD4C5EA" w14:textId="62235AB5" w:rsidR="008A1D58" w:rsidRPr="008A1D58" w:rsidRDefault="008A1D58" w:rsidP="008A1D58">
            <w:pPr>
              <w:spacing w:line="276" w:lineRule="auto"/>
              <w:jc w:val="right"/>
              <w:rPr>
                <w:rFonts w:ascii="Arial" w:hAnsi="Arial" w:cs="Arial"/>
                <w:szCs w:val="24"/>
              </w:rPr>
            </w:pPr>
            <w:r w:rsidRPr="008A1D58">
              <w:rPr>
                <w:rFonts w:ascii="Arial" w:hAnsi="Arial" w:cs="Arial"/>
              </w:rPr>
              <w:t xml:space="preserve"> 1,662 </w:t>
            </w:r>
          </w:p>
        </w:tc>
        <w:tc>
          <w:tcPr>
            <w:tcW w:w="1103" w:type="dxa"/>
          </w:tcPr>
          <w:p w14:paraId="24B832A7" w14:textId="015BCEE3" w:rsidR="008A1D58" w:rsidRPr="008A1D58" w:rsidRDefault="008A1D58" w:rsidP="008A1D58">
            <w:pPr>
              <w:spacing w:line="276" w:lineRule="auto"/>
              <w:jc w:val="right"/>
              <w:rPr>
                <w:rFonts w:ascii="Arial" w:hAnsi="Arial" w:cs="Arial"/>
              </w:rPr>
            </w:pPr>
            <w:r w:rsidRPr="008A1D58">
              <w:rPr>
                <w:rFonts w:ascii="Arial" w:hAnsi="Arial" w:cs="Arial"/>
              </w:rPr>
              <w:t xml:space="preserve"> 1,665 </w:t>
            </w:r>
          </w:p>
        </w:tc>
      </w:tr>
      <w:tr w:rsidR="008A1D58" w:rsidRPr="000A2F02" w14:paraId="794ECEB6" w14:textId="497C093C" w:rsidTr="000903C6">
        <w:trPr>
          <w:trHeight w:val="102"/>
          <w:jc w:val="center"/>
        </w:trPr>
        <w:tc>
          <w:tcPr>
            <w:tcW w:w="1890" w:type="dxa"/>
            <w:noWrap/>
            <w:hideMark/>
          </w:tcPr>
          <w:p w14:paraId="7B577188" w14:textId="77777777" w:rsidR="008A1D58" w:rsidRPr="000A2F02" w:rsidRDefault="008A1D58" w:rsidP="00755EAA">
            <w:pPr>
              <w:spacing w:line="276" w:lineRule="auto"/>
              <w:jc w:val="right"/>
              <w:rPr>
                <w:rFonts w:ascii="Arial" w:hAnsi="Arial" w:cs="Arial"/>
                <w:szCs w:val="24"/>
              </w:rPr>
            </w:pPr>
            <w:r w:rsidRPr="000A2F02">
              <w:rPr>
                <w:rFonts w:ascii="Arial" w:hAnsi="Arial" w:cs="Arial"/>
                <w:szCs w:val="24"/>
              </w:rPr>
              <w:t>%staff spend</w:t>
            </w:r>
          </w:p>
        </w:tc>
        <w:tc>
          <w:tcPr>
            <w:tcW w:w="1574" w:type="dxa"/>
            <w:noWrap/>
            <w:hideMark/>
          </w:tcPr>
          <w:p w14:paraId="64AB70EE" w14:textId="115A1A58" w:rsidR="008A1D58" w:rsidRPr="00755EAA" w:rsidRDefault="008A1D58" w:rsidP="00755EAA">
            <w:pPr>
              <w:spacing w:line="276" w:lineRule="auto"/>
              <w:jc w:val="right"/>
              <w:rPr>
                <w:rFonts w:ascii="Arial" w:hAnsi="Arial" w:cs="Arial"/>
                <w:szCs w:val="24"/>
              </w:rPr>
            </w:pPr>
            <w:r w:rsidRPr="00755EAA">
              <w:rPr>
                <w:rFonts w:ascii="Arial" w:hAnsi="Arial" w:cs="Arial"/>
              </w:rPr>
              <w:t>60%</w:t>
            </w:r>
          </w:p>
        </w:tc>
        <w:tc>
          <w:tcPr>
            <w:tcW w:w="1294" w:type="dxa"/>
            <w:noWrap/>
            <w:hideMark/>
          </w:tcPr>
          <w:p w14:paraId="2018447D" w14:textId="54F1560D" w:rsidR="008A1D58" w:rsidRPr="00755EAA" w:rsidRDefault="008A1D58" w:rsidP="00755EAA">
            <w:pPr>
              <w:spacing w:line="276" w:lineRule="auto"/>
              <w:jc w:val="right"/>
              <w:rPr>
                <w:rFonts w:ascii="Arial" w:hAnsi="Arial" w:cs="Arial"/>
                <w:szCs w:val="24"/>
              </w:rPr>
            </w:pPr>
            <w:r w:rsidRPr="00755EAA">
              <w:rPr>
                <w:rFonts w:ascii="Arial" w:hAnsi="Arial" w:cs="Arial"/>
              </w:rPr>
              <w:t>60%</w:t>
            </w:r>
          </w:p>
        </w:tc>
        <w:tc>
          <w:tcPr>
            <w:tcW w:w="1294" w:type="dxa"/>
            <w:noWrap/>
            <w:hideMark/>
          </w:tcPr>
          <w:p w14:paraId="5E0823B5" w14:textId="2D2920EE" w:rsidR="008A1D58" w:rsidRPr="00755EAA" w:rsidRDefault="008A1D58" w:rsidP="00755EAA">
            <w:pPr>
              <w:spacing w:line="276" w:lineRule="auto"/>
              <w:jc w:val="right"/>
              <w:rPr>
                <w:rFonts w:ascii="Arial" w:hAnsi="Arial" w:cs="Arial"/>
                <w:szCs w:val="24"/>
              </w:rPr>
            </w:pPr>
            <w:r w:rsidRPr="00755EAA">
              <w:rPr>
                <w:rFonts w:ascii="Arial" w:hAnsi="Arial" w:cs="Arial"/>
              </w:rPr>
              <w:t>59%</w:t>
            </w:r>
          </w:p>
        </w:tc>
        <w:tc>
          <w:tcPr>
            <w:tcW w:w="1103" w:type="dxa"/>
          </w:tcPr>
          <w:p w14:paraId="367B1119" w14:textId="0D414B7D" w:rsidR="008A1D58" w:rsidRPr="00755EAA" w:rsidRDefault="000903C6" w:rsidP="00755EAA">
            <w:pPr>
              <w:spacing w:line="276" w:lineRule="auto"/>
              <w:jc w:val="right"/>
              <w:rPr>
                <w:rFonts w:ascii="Arial" w:hAnsi="Arial" w:cs="Arial"/>
              </w:rPr>
            </w:pPr>
            <w:r>
              <w:rPr>
                <w:rFonts w:ascii="Arial" w:hAnsi="Arial" w:cs="Arial"/>
              </w:rPr>
              <w:t>60%</w:t>
            </w:r>
          </w:p>
        </w:tc>
      </w:tr>
    </w:tbl>
    <w:p w14:paraId="5F5D14E6" w14:textId="77777777" w:rsidR="00A54003" w:rsidRPr="000A2F02" w:rsidRDefault="00A54003" w:rsidP="00A54003">
      <w:pPr>
        <w:pStyle w:val="ListParagraph"/>
        <w:spacing w:line="276" w:lineRule="auto"/>
        <w:ind w:left="360"/>
        <w:rPr>
          <w:rFonts w:ascii="Arial" w:hAnsi="Arial" w:cs="Arial"/>
          <w:sz w:val="20"/>
          <w:szCs w:val="24"/>
        </w:rPr>
      </w:pPr>
      <w:r w:rsidRPr="000A2F02">
        <w:rPr>
          <w:rFonts w:ascii="Arial" w:hAnsi="Arial" w:cs="Arial"/>
          <w:sz w:val="20"/>
          <w:szCs w:val="24"/>
        </w:rPr>
        <w:t xml:space="preserve">Source: Total dentistry spend is from DHSC accounts. Total dentists spend is by multiplying the dentist count and income from below. </w:t>
      </w:r>
    </w:p>
    <w:p w14:paraId="10F7B444" w14:textId="77777777" w:rsidR="00A54003" w:rsidRPr="000A2F02" w:rsidRDefault="00A54003" w:rsidP="00A54003">
      <w:pPr>
        <w:pStyle w:val="ListParagraph"/>
        <w:spacing w:line="276" w:lineRule="auto"/>
        <w:ind w:left="360"/>
        <w:rPr>
          <w:rFonts w:ascii="Arial" w:hAnsi="Arial" w:cs="Arial"/>
          <w:sz w:val="24"/>
          <w:szCs w:val="24"/>
        </w:rPr>
      </w:pPr>
    </w:p>
    <w:p w14:paraId="09CB6016" w14:textId="77777777" w:rsidR="00A54003" w:rsidRPr="000A2F02" w:rsidRDefault="00A54003" w:rsidP="00A54003">
      <w:pPr>
        <w:pStyle w:val="ListParagraph"/>
        <w:numPr>
          <w:ilvl w:val="0"/>
          <w:numId w:val="6"/>
        </w:numPr>
        <w:spacing w:line="276" w:lineRule="auto"/>
        <w:rPr>
          <w:rFonts w:ascii="Arial" w:hAnsi="Arial" w:cs="Arial"/>
          <w:sz w:val="24"/>
        </w:rPr>
      </w:pPr>
      <w:r w:rsidRPr="000A2F02">
        <w:rPr>
          <w:rFonts w:ascii="Arial" w:hAnsi="Arial" w:cs="Arial"/>
          <w:sz w:val="24"/>
        </w:rPr>
        <w:t xml:space="preserve">Spend on dentists pay is the main category of spend and the main source of inflation in Dentistry. This can be further broken down into different dentist groups to give more granularity. The tables below show dentist volumes and unit costs for different dentist groups which make up the total dentist spend.  </w:t>
      </w:r>
    </w:p>
    <w:p w14:paraId="5A31D520" w14:textId="77777777" w:rsidR="00A54003" w:rsidRPr="000A2F02" w:rsidRDefault="00A54003" w:rsidP="00A54003">
      <w:pPr>
        <w:pStyle w:val="ListParagraph"/>
        <w:spacing w:line="276" w:lineRule="auto"/>
        <w:ind w:left="360"/>
        <w:rPr>
          <w:rFonts w:ascii="Arial" w:hAnsi="Arial" w:cs="Arial"/>
          <w:sz w:val="24"/>
          <w:szCs w:val="24"/>
        </w:rPr>
      </w:pPr>
    </w:p>
    <w:p w14:paraId="44CA221D" w14:textId="1F318224" w:rsidR="00A54003" w:rsidRPr="000A2F02" w:rsidRDefault="00A54003" w:rsidP="00A54003">
      <w:pPr>
        <w:spacing w:after="0" w:line="276" w:lineRule="auto"/>
        <w:jc w:val="center"/>
        <w:rPr>
          <w:rFonts w:ascii="Arial" w:hAnsi="Arial" w:cs="Arial"/>
          <w:sz w:val="24"/>
        </w:rPr>
      </w:pPr>
      <w:r w:rsidRPr="000A2F02">
        <w:rPr>
          <w:rFonts w:ascii="Arial" w:hAnsi="Arial" w:cs="Arial"/>
          <w:sz w:val="24"/>
          <w:u w:val="single"/>
        </w:rPr>
        <w:t>Table: Dentistry staff volumes</w:t>
      </w:r>
      <w:r w:rsidR="00004FDC">
        <w:rPr>
          <w:rFonts w:ascii="Arial" w:hAnsi="Arial" w:cs="Arial"/>
          <w:sz w:val="24"/>
          <w:u w:val="single"/>
        </w:rPr>
        <w:t xml:space="preserve"> (count)</w:t>
      </w:r>
    </w:p>
    <w:tbl>
      <w:tblPr>
        <w:tblW w:w="7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990"/>
        <w:gridCol w:w="1234"/>
        <w:gridCol w:w="1015"/>
        <w:gridCol w:w="1015"/>
      </w:tblGrid>
      <w:tr w:rsidR="00004FDC" w:rsidRPr="00755EAA" w14:paraId="6E88CFE1" w14:textId="73FD0213" w:rsidTr="00004FDC">
        <w:trPr>
          <w:trHeight w:val="260"/>
          <w:jc w:val="center"/>
        </w:trPr>
        <w:tc>
          <w:tcPr>
            <w:tcW w:w="3628" w:type="dxa"/>
            <w:shd w:val="clear" w:color="auto" w:fill="auto"/>
            <w:noWrap/>
            <w:vAlign w:val="bottom"/>
            <w:hideMark/>
          </w:tcPr>
          <w:p w14:paraId="6E0FF726" w14:textId="3F367C77" w:rsidR="00004FDC" w:rsidRPr="00755EAA" w:rsidRDefault="00004FDC"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Dentis</w:t>
            </w:r>
            <w:r>
              <w:rPr>
                <w:rFonts w:ascii="Arial" w:eastAsia="Times New Roman" w:hAnsi="Arial" w:cs="Arial"/>
                <w:b/>
                <w:bCs/>
                <w:color w:val="000000"/>
                <w:lang w:eastAsia="en-GB"/>
              </w:rPr>
              <w:t>ts by c</w:t>
            </w:r>
            <w:r w:rsidRPr="00755EAA">
              <w:rPr>
                <w:rFonts w:ascii="Arial" w:eastAsia="Times New Roman" w:hAnsi="Arial" w:cs="Arial"/>
                <w:b/>
                <w:bCs/>
                <w:color w:val="000000"/>
                <w:lang w:eastAsia="en-GB"/>
              </w:rPr>
              <w:t>ontract type</w:t>
            </w:r>
          </w:p>
        </w:tc>
        <w:tc>
          <w:tcPr>
            <w:tcW w:w="990" w:type="dxa"/>
            <w:shd w:val="clear" w:color="auto" w:fill="auto"/>
            <w:noWrap/>
            <w:vAlign w:val="bottom"/>
            <w:hideMark/>
          </w:tcPr>
          <w:p w14:paraId="32F9E521" w14:textId="77777777" w:rsidR="00004FDC" w:rsidRPr="00755EAA" w:rsidRDefault="00004FDC"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15/16</w:t>
            </w:r>
          </w:p>
        </w:tc>
        <w:tc>
          <w:tcPr>
            <w:tcW w:w="1234" w:type="dxa"/>
            <w:shd w:val="clear" w:color="auto" w:fill="auto"/>
            <w:noWrap/>
            <w:vAlign w:val="bottom"/>
            <w:hideMark/>
          </w:tcPr>
          <w:p w14:paraId="37D7EEBE" w14:textId="77777777" w:rsidR="00004FDC" w:rsidRPr="00755EAA" w:rsidRDefault="00004FDC"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16/17</w:t>
            </w:r>
          </w:p>
        </w:tc>
        <w:tc>
          <w:tcPr>
            <w:tcW w:w="1015" w:type="dxa"/>
            <w:shd w:val="clear" w:color="auto" w:fill="auto"/>
            <w:noWrap/>
            <w:vAlign w:val="bottom"/>
            <w:hideMark/>
          </w:tcPr>
          <w:p w14:paraId="71EEBAFF" w14:textId="77777777" w:rsidR="00004FDC" w:rsidRPr="00755EAA" w:rsidRDefault="00004FDC"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17/18</w:t>
            </w:r>
          </w:p>
        </w:tc>
        <w:tc>
          <w:tcPr>
            <w:tcW w:w="1015" w:type="dxa"/>
          </w:tcPr>
          <w:p w14:paraId="4C4585C4" w14:textId="30AE1ABC" w:rsidR="00004FDC" w:rsidRPr="00755EAA" w:rsidRDefault="00004FDC" w:rsidP="00755EA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18/19</w:t>
            </w:r>
          </w:p>
        </w:tc>
      </w:tr>
      <w:tr w:rsidR="00004FDC" w:rsidRPr="00755EAA" w14:paraId="46B5FE30" w14:textId="22299B94" w:rsidTr="00004FDC">
        <w:trPr>
          <w:trHeight w:val="260"/>
          <w:jc w:val="center"/>
        </w:trPr>
        <w:tc>
          <w:tcPr>
            <w:tcW w:w="3628" w:type="dxa"/>
            <w:shd w:val="clear" w:color="auto" w:fill="auto"/>
            <w:noWrap/>
            <w:vAlign w:val="bottom"/>
            <w:hideMark/>
          </w:tcPr>
          <w:p w14:paraId="119BE5B3" w14:textId="77777777"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GDS</w:t>
            </w:r>
          </w:p>
        </w:tc>
        <w:tc>
          <w:tcPr>
            <w:tcW w:w="990" w:type="dxa"/>
            <w:shd w:val="clear" w:color="auto" w:fill="auto"/>
            <w:noWrap/>
            <w:vAlign w:val="bottom"/>
            <w:hideMark/>
          </w:tcPr>
          <w:p w14:paraId="1D44DCA0" w14:textId="4F7224D0"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19,976</w:t>
            </w:r>
          </w:p>
        </w:tc>
        <w:tc>
          <w:tcPr>
            <w:tcW w:w="1234" w:type="dxa"/>
            <w:shd w:val="clear" w:color="auto" w:fill="auto"/>
            <w:noWrap/>
            <w:vAlign w:val="bottom"/>
            <w:hideMark/>
          </w:tcPr>
          <w:p w14:paraId="75D09600" w14:textId="03B419F9"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20,046</w:t>
            </w:r>
          </w:p>
        </w:tc>
        <w:tc>
          <w:tcPr>
            <w:tcW w:w="1015" w:type="dxa"/>
            <w:shd w:val="clear" w:color="auto" w:fill="auto"/>
            <w:noWrap/>
            <w:vAlign w:val="bottom"/>
            <w:hideMark/>
          </w:tcPr>
          <w:p w14:paraId="5E1780D3" w14:textId="6FE0CC87"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20,514</w:t>
            </w:r>
          </w:p>
        </w:tc>
        <w:tc>
          <w:tcPr>
            <w:tcW w:w="1015" w:type="dxa"/>
          </w:tcPr>
          <w:p w14:paraId="31423B68" w14:textId="7AE5C757" w:rsidR="00004FDC" w:rsidRPr="00755EAA" w:rsidRDefault="00004FDC" w:rsidP="00004FDC">
            <w:pPr>
              <w:spacing w:after="0" w:line="240" w:lineRule="auto"/>
              <w:jc w:val="center"/>
              <w:rPr>
                <w:rFonts w:ascii="Arial" w:eastAsia="Times New Roman" w:hAnsi="Arial" w:cs="Arial"/>
                <w:color w:val="000000"/>
                <w:lang w:eastAsia="en-GB"/>
              </w:rPr>
            </w:pPr>
            <w:r w:rsidRPr="00004FDC">
              <w:rPr>
                <w:rFonts w:ascii="Arial" w:eastAsia="Times New Roman" w:hAnsi="Arial" w:cs="Arial"/>
                <w:color w:val="000000"/>
                <w:lang w:eastAsia="en-GB"/>
              </w:rPr>
              <w:t xml:space="preserve"> 20,915 </w:t>
            </w:r>
          </w:p>
        </w:tc>
      </w:tr>
      <w:tr w:rsidR="00004FDC" w:rsidRPr="00755EAA" w14:paraId="791DB849" w14:textId="54EDD8ED" w:rsidTr="00004FDC">
        <w:trPr>
          <w:trHeight w:val="260"/>
          <w:jc w:val="center"/>
        </w:trPr>
        <w:tc>
          <w:tcPr>
            <w:tcW w:w="3628" w:type="dxa"/>
            <w:shd w:val="clear" w:color="auto" w:fill="auto"/>
            <w:noWrap/>
            <w:vAlign w:val="bottom"/>
            <w:hideMark/>
          </w:tcPr>
          <w:p w14:paraId="4EE5419E" w14:textId="77777777"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PDS</w:t>
            </w:r>
          </w:p>
        </w:tc>
        <w:tc>
          <w:tcPr>
            <w:tcW w:w="990" w:type="dxa"/>
            <w:shd w:val="clear" w:color="auto" w:fill="auto"/>
            <w:noWrap/>
            <w:vAlign w:val="bottom"/>
            <w:hideMark/>
          </w:tcPr>
          <w:p w14:paraId="145F5579" w14:textId="6380463D"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1,709</w:t>
            </w:r>
          </w:p>
        </w:tc>
        <w:tc>
          <w:tcPr>
            <w:tcW w:w="1234" w:type="dxa"/>
            <w:shd w:val="clear" w:color="auto" w:fill="auto"/>
            <w:noWrap/>
            <w:vAlign w:val="bottom"/>
            <w:hideMark/>
          </w:tcPr>
          <w:p w14:paraId="285ECF9C" w14:textId="4850320D"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1,625</w:t>
            </w:r>
          </w:p>
        </w:tc>
        <w:tc>
          <w:tcPr>
            <w:tcW w:w="1015" w:type="dxa"/>
            <w:shd w:val="clear" w:color="auto" w:fill="auto"/>
            <w:noWrap/>
            <w:vAlign w:val="bottom"/>
            <w:hideMark/>
          </w:tcPr>
          <w:p w14:paraId="584F668B" w14:textId="6E5AC513"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1,536</w:t>
            </w:r>
          </w:p>
        </w:tc>
        <w:tc>
          <w:tcPr>
            <w:tcW w:w="1015" w:type="dxa"/>
          </w:tcPr>
          <w:p w14:paraId="43A7D543" w14:textId="5C1D44D9" w:rsidR="00004FDC" w:rsidRPr="00755EAA" w:rsidRDefault="00004FDC" w:rsidP="00004FDC">
            <w:pPr>
              <w:spacing w:after="0" w:line="240" w:lineRule="auto"/>
              <w:jc w:val="center"/>
              <w:rPr>
                <w:rFonts w:ascii="Arial" w:eastAsia="Times New Roman" w:hAnsi="Arial" w:cs="Arial"/>
                <w:color w:val="000000"/>
                <w:lang w:eastAsia="en-GB"/>
              </w:rPr>
            </w:pPr>
            <w:r w:rsidRPr="00004FDC">
              <w:rPr>
                <w:rFonts w:ascii="Arial" w:eastAsia="Times New Roman" w:hAnsi="Arial" w:cs="Arial"/>
                <w:color w:val="000000"/>
                <w:lang w:eastAsia="en-GB"/>
              </w:rPr>
              <w:t xml:space="preserve"> 1,501 </w:t>
            </w:r>
          </w:p>
        </w:tc>
      </w:tr>
      <w:tr w:rsidR="00004FDC" w:rsidRPr="00755EAA" w14:paraId="1310A42D" w14:textId="18AD4B07" w:rsidTr="00004FDC">
        <w:trPr>
          <w:trHeight w:val="260"/>
          <w:jc w:val="center"/>
        </w:trPr>
        <w:tc>
          <w:tcPr>
            <w:tcW w:w="3628" w:type="dxa"/>
            <w:shd w:val="clear" w:color="auto" w:fill="auto"/>
            <w:noWrap/>
            <w:vAlign w:val="bottom"/>
            <w:hideMark/>
          </w:tcPr>
          <w:p w14:paraId="0433C7E7" w14:textId="77777777"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TDS</w:t>
            </w:r>
          </w:p>
        </w:tc>
        <w:tc>
          <w:tcPr>
            <w:tcW w:w="990" w:type="dxa"/>
            <w:shd w:val="clear" w:color="auto" w:fill="auto"/>
            <w:noWrap/>
            <w:vAlign w:val="bottom"/>
            <w:hideMark/>
          </w:tcPr>
          <w:p w14:paraId="7FAE2E54" w14:textId="69CD6CDF"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861</w:t>
            </w:r>
          </w:p>
        </w:tc>
        <w:tc>
          <w:tcPr>
            <w:tcW w:w="1234" w:type="dxa"/>
            <w:shd w:val="clear" w:color="auto" w:fill="auto"/>
            <w:noWrap/>
            <w:vAlign w:val="bottom"/>
            <w:hideMark/>
          </w:tcPr>
          <w:p w14:paraId="58343CFB" w14:textId="2C166EF5"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794</w:t>
            </w:r>
          </w:p>
        </w:tc>
        <w:tc>
          <w:tcPr>
            <w:tcW w:w="1015" w:type="dxa"/>
            <w:shd w:val="clear" w:color="auto" w:fill="auto"/>
            <w:noWrap/>
            <w:vAlign w:val="bottom"/>
            <w:hideMark/>
          </w:tcPr>
          <w:p w14:paraId="67145BBF" w14:textId="158947D8"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812</w:t>
            </w:r>
          </w:p>
        </w:tc>
        <w:tc>
          <w:tcPr>
            <w:tcW w:w="1015" w:type="dxa"/>
          </w:tcPr>
          <w:p w14:paraId="4B23FD4C" w14:textId="69E71691" w:rsidR="00004FDC" w:rsidRPr="00755EAA" w:rsidRDefault="00004FDC" w:rsidP="00004FDC">
            <w:pPr>
              <w:spacing w:after="0" w:line="240" w:lineRule="auto"/>
              <w:jc w:val="center"/>
              <w:rPr>
                <w:rFonts w:ascii="Arial" w:eastAsia="Times New Roman" w:hAnsi="Arial" w:cs="Arial"/>
                <w:color w:val="000000"/>
                <w:lang w:eastAsia="en-GB"/>
              </w:rPr>
            </w:pPr>
            <w:r w:rsidRPr="00004FDC">
              <w:rPr>
                <w:rFonts w:ascii="Arial" w:eastAsia="Times New Roman" w:hAnsi="Arial" w:cs="Arial"/>
                <w:color w:val="000000"/>
                <w:lang w:eastAsia="en-GB"/>
              </w:rPr>
              <w:t xml:space="preserve"> 787 </w:t>
            </w:r>
          </w:p>
        </w:tc>
      </w:tr>
      <w:tr w:rsidR="00004FDC" w:rsidRPr="00755EAA" w14:paraId="0F226C73" w14:textId="3EB91777" w:rsidTr="00004FDC">
        <w:trPr>
          <w:trHeight w:val="260"/>
          <w:jc w:val="center"/>
        </w:trPr>
        <w:tc>
          <w:tcPr>
            <w:tcW w:w="3628" w:type="dxa"/>
            <w:shd w:val="clear" w:color="auto" w:fill="auto"/>
            <w:noWrap/>
            <w:vAlign w:val="bottom"/>
            <w:hideMark/>
          </w:tcPr>
          <w:p w14:paraId="00771A82" w14:textId="4E95DEBE"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Mixed</w:t>
            </w:r>
          </w:p>
        </w:tc>
        <w:tc>
          <w:tcPr>
            <w:tcW w:w="990" w:type="dxa"/>
            <w:shd w:val="clear" w:color="auto" w:fill="auto"/>
            <w:noWrap/>
            <w:vAlign w:val="bottom"/>
            <w:hideMark/>
          </w:tcPr>
          <w:p w14:paraId="6DEC105D" w14:textId="16C59E43"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1,543</w:t>
            </w:r>
          </w:p>
        </w:tc>
        <w:tc>
          <w:tcPr>
            <w:tcW w:w="1234" w:type="dxa"/>
            <w:shd w:val="clear" w:color="auto" w:fill="auto"/>
            <w:noWrap/>
            <w:vAlign w:val="bottom"/>
            <w:hideMark/>
          </w:tcPr>
          <w:p w14:paraId="143CB44D" w14:textId="7AE73F1F"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1,542</w:t>
            </w:r>
          </w:p>
        </w:tc>
        <w:tc>
          <w:tcPr>
            <w:tcW w:w="1015" w:type="dxa"/>
            <w:shd w:val="clear" w:color="auto" w:fill="auto"/>
            <w:noWrap/>
            <w:vAlign w:val="bottom"/>
            <w:hideMark/>
          </w:tcPr>
          <w:p w14:paraId="77DDB2D4" w14:textId="47A63FBC" w:rsidR="00004FDC" w:rsidRPr="00755EAA" w:rsidRDefault="00004FDC" w:rsidP="00004FDC">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1,446</w:t>
            </w:r>
          </w:p>
        </w:tc>
        <w:tc>
          <w:tcPr>
            <w:tcW w:w="1015" w:type="dxa"/>
          </w:tcPr>
          <w:p w14:paraId="5DC5F550" w14:textId="61599B6E" w:rsidR="00004FDC" w:rsidRPr="00755EAA" w:rsidRDefault="00004FDC" w:rsidP="00004FDC">
            <w:pPr>
              <w:spacing w:after="0" w:line="240" w:lineRule="auto"/>
              <w:jc w:val="center"/>
              <w:rPr>
                <w:rFonts w:ascii="Arial" w:eastAsia="Times New Roman" w:hAnsi="Arial" w:cs="Arial"/>
                <w:color w:val="000000"/>
                <w:lang w:eastAsia="en-GB"/>
              </w:rPr>
            </w:pPr>
            <w:r w:rsidRPr="00004FDC">
              <w:rPr>
                <w:rFonts w:ascii="Arial" w:eastAsia="Times New Roman" w:hAnsi="Arial" w:cs="Arial"/>
                <w:color w:val="000000"/>
                <w:lang w:eastAsia="en-GB"/>
              </w:rPr>
              <w:t xml:space="preserve"> 1,342 </w:t>
            </w:r>
          </w:p>
        </w:tc>
      </w:tr>
    </w:tbl>
    <w:p w14:paraId="3568ABAC" w14:textId="6F4D9C3F" w:rsidR="00A54003" w:rsidRPr="000A2F02" w:rsidRDefault="00A54003" w:rsidP="00A54003">
      <w:pPr>
        <w:spacing w:line="276" w:lineRule="auto"/>
        <w:ind w:left="720"/>
        <w:rPr>
          <w:rFonts w:ascii="Arial" w:hAnsi="Arial" w:cs="Arial"/>
          <w:sz w:val="20"/>
          <w:szCs w:val="24"/>
        </w:rPr>
      </w:pPr>
      <w:r w:rsidRPr="000A2F02">
        <w:rPr>
          <w:rFonts w:ascii="Arial" w:hAnsi="Arial" w:cs="Arial"/>
          <w:sz w:val="20"/>
          <w:szCs w:val="24"/>
        </w:rPr>
        <w:t xml:space="preserve">Source: </w:t>
      </w:r>
      <w:hyperlink r:id="rId18" w:history="1">
        <w:r w:rsidRPr="000A2F02">
          <w:rPr>
            <w:rStyle w:val="Hyperlink"/>
            <w:rFonts w:ascii="Arial" w:hAnsi="Arial" w:cs="Arial"/>
            <w:sz w:val="20"/>
            <w:szCs w:val="24"/>
          </w:rPr>
          <w:t>Dental workforce.</w:t>
        </w:r>
      </w:hyperlink>
      <w:r w:rsidRPr="000A2F02">
        <w:rPr>
          <w:rFonts w:ascii="Arial" w:hAnsi="Arial" w:cs="Arial"/>
          <w:sz w:val="20"/>
          <w:szCs w:val="24"/>
        </w:rPr>
        <w:t xml:space="preserve"> Note: </w:t>
      </w:r>
      <w:r w:rsidR="00755EAA">
        <w:rPr>
          <w:rFonts w:ascii="Arial" w:hAnsi="Arial" w:cs="Arial"/>
          <w:sz w:val="20"/>
          <w:szCs w:val="24"/>
        </w:rPr>
        <w:t>There is double counting present in each contract type because although a dentist can primarily hold one type of contract they are also likely to hold others and it is not possible to have distinct counts</w:t>
      </w:r>
      <w:r w:rsidRPr="000A2F02">
        <w:rPr>
          <w:rFonts w:ascii="Arial" w:hAnsi="Arial" w:cs="Arial"/>
          <w:sz w:val="20"/>
          <w:szCs w:val="24"/>
        </w:rPr>
        <w:t xml:space="preserve">. </w:t>
      </w:r>
    </w:p>
    <w:p w14:paraId="0B8EAD32" w14:textId="77777777" w:rsidR="00A54003" w:rsidRPr="000A2F02" w:rsidRDefault="00A54003" w:rsidP="00A54003">
      <w:pPr>
        <w:spacing w:after="0" w:line="276" w:lineRule="auto"/>
        <w:jc w:val="center"/>
        <w:rPr>
          <w:rFonts w:ascii="Arial" w:hAnsi="Arial" w:cs="Arial"/>
          <w:sz w:val="24"/>
        </w:rPr>
      </w:pPr>
    </w:p>
    <w:p w14:paraId="7B97041E" w14:textId="1FCF2428" w:rsidR="00A54003" w:rsidRPr="000A2F02" w:rsidRDefault="00A54003" w:rsidP="00A54003">
      <w:pPr>
        <w:spacing w:after="0" w:line="276" w:lineRule="auto"/>
        <w:jc w:val="center"/>
        <w:rPr>
          <w:rFonts w:ascii="Arial" w:hAnsi="Arial" w:cs="Arial"/>
          <w:sz w:val="24"/>
        </w:rPr>
      </w:pPr>
      <w:r w:rsidRPr="000A2F02">
        <w:rPr>
          <w:rFonts w:ascii="Arial" w:hAnsi="Arial" w:cs="Arial"/>
          <w:sz w:val="24"/>
          <w:u w:val="single"/>
        </w:rPr>
        <w:t>Table: Dentistry staff earnings</w:t>
      </w:r>
      <w:r w:rsidR="00FC37A9">
        <w:rPr>
          <w:rFonts w:ascii="Arial" w:hAnsi="Arial" w:cs="Arial"/>
          <w:sz w:val="24"/>
          <w:u w:val="single"/>
        </w:rPr>
        <w:t xml:space="preserve"> £</w:t>
      </w:r>
    </w:p>
    <w:tbl>
      <w:tblPr>
        <w:tblW w:w="7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25"/>
        <w:gridCol w:w="1124"/>
        <w:gridCol w:w="1125"/>
        <w:gridCol w:w="1124"/>
        <w:gridCol w:w="1012"/>
      </w:tblGrid>
      <w:tr w:rsidR="00FC37A9" w:rsidRPr="00755EAA" w14:paraId="7C1B51CE" w14:textId="672498F1" w:rsidTr="00FC37A9">
        <w:trPr>
          <w:trHeight w:val="132"/>
          <w:jc w:val="center"/>
        </w:trPr>
        <w:tc>
          <w:tcPr>
            <w:tcW w:w="1907" w:type="dxa"/>
            <w:shd w:val="clear" w:color="000000" w:fill="D9E1F2"/>
            <w:noWrap/>
            <w:vAlign w:val="bottom"/>
            <w:hideMark/>
          </w:tcPr>
          <w:p w14:paraId="6BF0AADD" w14:textId="10986DDE" w:rsidR="00FC37A9" w:rsidRPr="00755EAA" w:rsidRDefault="00FC37A9"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 xml:space="preserve">Dentist income </w:t>
            </w:r>
          </w:p>
        </w:tc>
        <w:tc>
          <w:tcPr>
            <w:tcW w:w="1125" w:type="dxa"/>
            <w:shd w:val="clear" w:color="000000" w:fill="D9E1F2"/>
            <w:noWrap/>
            <w:vAlign w:val="bottom"/>
            <w:hideMark/>
          </w:tcPr>
          <w:p w14:paraId="0AD7C0F2" w14:textId="77777777" w:rsidR="00FC37A9" w:rsidRPr="00755EAA" w:rsidRDefault="00FC37A9"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14/15</w:t>
            </w:r>
          </w:p>
        </w:tc>
        <w:tc>
          <w:tcPr>
            <w:tcW w:w="1124" w:type="dxa"/>
            <w:shd w:val="clear" w:color="000000" w:fill="D9E1F2"/>
            <w:noWrap/>
            <w:vAlign w:val="bottom"/>
            <w:hideMark/>
          </w:tcPr>
          <w:p w14:paraId="1211C3AE" w14:textId="77777777" w:rsidR="00FC37A9" w:rsidRPr="00755EAA" w:rsidRDefault="00FC37A9"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15/16</w:t>
            </w:r>
          </w:p>
        </w:tc>
        <w:tc>
          <w:tcPr>
            <w:tcW w:w="1125" w:type="dxa"/>
            <w:shd w:val="clear" w:color="000000" w:fill="D9E1F2"/>
            <w:noWrap/>
            <w:vAlign w:val="bottom"/>
            <w:hideMark/>
          </w:tcPr>
          <w:p w14:paraId="4E8CB3CA" w14:textId="77777777" w:rsidR="00FC37A9" w:rsidRPr="00755EAA" w:rsidRDefault="00FC37A9"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16/17</w:t>
            </w:r>
          </w:p>
        </w:tc>
        <w:tc>
          <w:tcPr>
            <w:tcW w:w="1124" w:type="dxa"/>
            <w:shd w:val="clear" w:color="000000" w:fill="D9E1F2"/>
            <w:noWrap/>
            <w:vAlign w:val="bottom"/>
            <w:hideMark/>
          </w:tcPr>
          <w:p w14:paraId="06DA3476" w14:textId="77777777" w:rsidR="00FC37A9" w:rsidRPr="00755EAA" w:rsidRDefault="00FC37A9" w:rsidP="00755EAA">
            <w:pPr>
              <w:spacing w:after="0" w:line="240" w:lineRule="auto"/>
              <w:jc w:val="center"/>
              <w:rPr>
                <w:rFonts w:ascii="Arial" w:eastAsia="Times New Roman" w:hAnsi="Arial" w:cs="Arial"/>
                <w:b/>
                <w:bCs/>
                <w:color w:val="000000"/>
                <w:lang w:eastAsia="en-GB"/>
              </w:rPr>
            </w:pPr>
            <w:r w:rsidRPr="00755EAA">
              <w:rPr>
                <w:rFonts w:ascii="Arial" w:eastAsia="Times New Roman" w:hAnsi="Arial" w:cs="Arial"/>
                <w:b/>
                <w:bCs/>
                <w:color w:val="000000"/>
                <w:lang w:eastAsia="en-GB"/>
              </w:rPr>
              <w:t>17/18</w:t>
            </w:r>
          </w:p>
        </w:tc>
        <w:tc>
          <w:tcPr>
            <w:tcW w:w="803" w:type="dxa"/>
            <w:shd w:val="clear" w:color="000000" w:fill="D9E1F2"/>
          </w:tcPr>
          <w:p w14:paraId="020C4A85" w14:textId="5D837EF2" w:rsidR="00FC37A9" w:rsidRPr="00755EAA" w:rsidRDefault="00FC37A9" w:rsidP="00755EAA">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18/19</w:t>
            </w:r>
          </w:p>
        </w:tc>
      </w:tr>
      <w:tr w:rsidR="00FC37A9" w:rsidRPr="00755EAA" w14:paraId="356415D7" w14:textId="2C93722F" w:rsidTr="00FC37A9">
        <w:trPr>
          <w:trHeight w:val="132"/>
          <w:jc w:val="center"/>
        </w:trPr>
        <w:tc>
          <w:tcPr>
            <w:tcW w:w="1907" w:type="dxa"/>
            <w:shd w:val="clear" w:color="auto" w:fill="auto"/>
            <w:noWrap/>
            <w:vAlign w:val="bottom"/>
            <w:hideMark/>
          </w:tcPr>
          <w:p w14:paraId="3F1E3BDB" w14:textId="77777777"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GDS</w:t>
            </w:r>
          </w:p>
        </w:tc>
        <w:tc>
          <w:tcPr>
            <w:tcW w:w="1125" w:type="dxa"/>
            <w:shd w:val="clear" w:color="auto" w:fill="auto"/>
            <w:noWrap/>
            <w:vAlign w:val="bottom"/>
            <w:hideMark/>
          </w:tcPr>
          <w:p w14:paraId="05EB0951" w14:textId="3E18B32D"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68,100</w:t>
            </w:r>
          </w:p>
        </w:tc>
        <w:tc>
          <w:tcPr>
            <w:tcW w:w="1124" w:type="dxa"/>
            <w:shd w:val="clear" w:color="auto" w:fill="auto"/>
            <w:noWrap/>
            <w:vAlign w:val="bottom"/>
            <w:hideMark/>
          </w:tcPr>
          <w:p w14:paraId="24D12A37" w14:textId="64030978"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66,900</w:t>
            </w:r>
          </w:p>
        </w:tc>
        <w:tc>
          <w:tcPr>
            <w:tcW w:w="1125" w:type="dxa"/>
            <w:shd w:val="clear" w:color="auto" w:fill="auto"/>
            <w:noWrap/>
            <w:vAlign w:val="bottom"/>
            <w:hideMark/>
          </w:tcPr>
          <w:p w14:paraId="074D45E4" w14:textId="0873B245"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66,600</w:t>
            </w:r>
          </w:p>
        </w:tc>
        <w:tc>
          <w:tcPr>
            <w:tcW w:w="1124" w:type="dxa"/>
            <w:shd w:val="clear" w:color="auto" w:fill="auto"/>
            <w:noWrap/>
            <w:vAlign w:val="bottom"/>
            <w:hideMark/>
          </w:tcPr>
          <w:p w14:paraId="3A7F015D" w14:textId="3959C8E0"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65,800</w:t>
            </w:r>
          </w:p>
        </w:tc>
        <w:tc>
          <w:tcPr>
            <w:tcW w:w="803" w:type="dxa"/>
          </w:tcPr>
          <w:p w14:paraId="2F9052D0" w14:textId="479E2C4F" w:rsidR="00FC37A9" w:rsidRPr="00FC37A9" w:rsidRDefault="00FC37A9" w:rsidP="00FC37A9">
            <w:pPr>
              <w:spacing w:after="0" w:line="240" w:lineRule="auto"/>
              <w:jc w:val="center"/>
              <w:rPr>
                <w:rFonts w:ascii="Arial" w:eastAsia="Times New Roman" w:hAnsi="Arial" w:cs="Arial"/>
                <w:color w:val="000000"/>
                <w:lang w:eastAsia="en-GB"/>
              </w:rPr>
            </w:pPr>
            <w:r w:rsidRPr="00FC37A9">
              <w:rPr>
                <w:rFonts w:ascii="Arial" w:hAnsi="Arial" w:cs="Arial"/>
              </w:rPr>
              <w:t xml:space="preserve"> 65,010 </w:t>
            </w:r>
          </w:p>
        </w:tc>
      </w:tr>
      <w:tr w:rsidR="00FC37A9" w:rsidRPr="00755EAA" w14:paraId="20F4AB46" w14:textId="4EC5C8F5" w:rsidTr="004E73E1">
        <w:trPr>
          <w:trHeight w:val="281"/>
          <w:jc w:val="center"/>
        </w:trPr>
        <w:tc>
          <w:tcPr>
            <w:tcW w:w="1907" w:type="dxa"/>
            <w:shd w:val="clear" w:color="auto" w:fill="auto"/>
            <w:noWrap/>
            <w:vAlign w:val="bottom"/>
            <w:hideMark/>
          </w:tcPr>
          <w:p w14:paraId="5BA6B6C4" w14:textId="6C5E4D07" w:rsidR="00FC37A9" w:rsidRPr="00755EAA" w:rsidRDefault="004E73E1" w:rsidP="004E73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          </w:t>
            </w:r>
            <w:r w:rsidR="00FC37A9" w:rsidRPr="00755EAA">
              <w:rPr>
                <w:rFonts w:ascii="Arial" w:eastAsia="Times New Roman" w:hAnsi="Arial" w:cs="Arial"/>
                <w:color w:val="000000"/>
                <w:lang w:eastAsia="en-GB"/>
              </w:rPr>
              <w:t>PDS</w:t>
            </w:r>
          </w:p>
        </w:tc>
        <w:tc>
          <w:tcPr>
            <w:tcW w:w="1125" w:type="dxa"/>
            <w:shd w:val="clear" w:color="auto" w:fill="auto"/>
            <w:noWrap/>
            <w:vAlign w:val="bottom"/>
            <w:hideMark/>
          </w:tcPr>
          <w:p w14:paraId="25BE58FE" w14:textId="667B7C57"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99,800</w:t>
            </w:r>
          </w:p>
        </w:tc>
        <w:tc>
          <w:tcPr>
            <w:tcW w:w="1124" w:type="dxa"/>
            <w:shd w:val="clear" w:color="auto" w:fill="auto"/>
            <w:noWrap/>
            <w:vAlign w:val="bottom"/>
            <w:hideMark/>
          </w:tcPr>
          <w:p w14:paraId="1268CF4F" w14:textId="74D3CAC0"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99,600</w:t>
            </w:r>
          </w:p>
        </w:tc>
        <w:tc>
          <w:tcPr>
            <w:tcW w:w="1125" w:type="dxa"/>
            <w:shd w:val="clear" w:color="auto" w:fill="auto"/>
            <w:noWrap/>
            <w:vAlign w:val="bottom"/>
            <w:hideMark/>
          </w:tcPr>
          <w:p w14:paraId="59E5C4AB" w14:textId="7724A31C"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99,800</w:t>
            </w:r>
          </w:p>
        </w:tc>
        <w:tc>
          <w:tcPr>
            <w:tcW w:w="1124" w:type="dxa"/>
            <w:shd w:val="clear" w:color="auto" w:fill="auto"/>
            <w:noWrap/>
            <w:vAlign w:val="bottom"/>
            <w:hideMark/>
          </w:tcPr>
          <w:p w14:paraId="5EB6AC16" w14:textId="34234B23"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102,800</w:t>
            </w:r>
          </w:p>
        </w:tc>
        <w:tc>
          <w:tcPr>
            <w:tcW w:w="803" w:type="dxa"/>
          </w:tcPr>
          <w:p w14:paraId="14BB3F37" w14:textId="75BE35DE" w:rsidR="00FC37A9" w:rsidRPr="00FC37A9" w:rsidRDefault="00FC37A9" w:rsidP="004E73E1">
            <w:pPr>
              <w:spacing w:after="0" w:line="240" w:lineRule="auto"/>
              <w:rPr>
                <w:rFonts w:ascii="Arial" w:eastAsia="Times New Roman" w:hAnsi="Arial" w:cs="Arial"/>
                <w:color w:val="000000"/>
                <w:lang w:eastAsia="en-GB"/>
              </w:rPr>
            </w:pPr>
            <w:r w:rsidRPr="00FC37A9">
              <w:rPr>
                <w:rFonts w:ascii="Arial" w:hAnsi="Arial" w:cs="Arial"/>
              </w:rPr>
              <w:t xml:space="preserve">105,890 </w:t>
            </w:r>
          </w:p>
        </w:tc>
      </w:tr>
      <w:tr w:rsidR="00FC37A9" w:rsidRPr="00755EAA" w14:paraId="67A04D4A" w14:textId="6E74DD25" w:rsidTr="00FC37A9">
        <w:trPr>
          <w:trHeight w:val="132"/>
          <w:jc w:val="center"/>
        </w:trPr>
        <w:tc>
          <w:tcPr>
            <w:tcW w:w="1907" w:type="dxa"/>
            <w:shd w:val="clear" w:color="auto" w:fill="auto"/>
            <w:noWrap/>
            <w:vAlign w:val="bottom"/>
            <w:hideMark/>
          </w:tcPr>
          <w:p w14:paraId="655B69C1" w14:textId="77777777"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TDS</w:t>
            </w:r>
          </w:p>
        </w:tc>
        <w:tc>
          <w:tcPr>
            <w:tcW w:w="1125" w:type="dxa"/>
            <w:shd w:val="clear" w:color="auto" w:fill="auto"/>
            <w:noWrap/>
            <w:vAlign w:val="bottom"/>
            <w:hideMark/>
          </w:tcPr>
          <w:p w14:paraId="7EF4FC55" w14:textId="1425CB14"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70,500</w:t>
            </w:r>
          </w:p>
        </w:tc>
        <w:tc>
          <w:tcPr>
            <w:tcW w:w="1124" w:type="dxa"/>
            <w:shd w:val="clear" w:color="auto" w:fill="auto"/>
            <w:noWrap/>
            <w:vAlign w:val="bottom"/>
            <w:hideMark/>
          </w:tcPr>
          <w:p w14:paraId="17814650" w14:textId="73E81FC4"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69,200</w:t>
            </w:r>
          </w:p>
        </w:tc>
        <w:tc>
          <w:tcPr>
            <w:tcW w:w="1125" w:type="dxa"/>
            <w:shd w:val="clear" w:color="auto" w:fill="auto"/>
            <w:noWrap/>
            <w:vAlign w:val="bottom"/>
            <w:hideMark/>
          </w:tcPr>
          <w:p w14:paraId="5573213C" w14:textId="4567D9F9"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68,700</w:t>
            </w:r>
          </w:p>
        </w:tc>
        <w:tc>
          <w:tcPr>
            <w:tcW w:w="1124" w:type="dxa"/>
            <w:shd w:val="clear" w:color="auto" w:fill="auto"/>
            <w:noWrap/>
            <w:vAlign w:val="bottom"/>
            <w:hideMark/>
          </w:tcPr>
          <w:p w14:paraId="3CCEE126" w14:textId="7F5FF75F"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68,100</w:t>
            </w:r>
          </w:p>
        </w:tc>
        <w:tc>
          <w:tcPr>
            <w:tcW w:w="803" w:type="dxa"/>
          </w:tcPr>
          <w:p w14:paraId="1454CF2D" w14:textId="71A6EA28" w:rsidR="00FC37A9" w:rsidRPr="00FC37A9" w:rsidRDefault="00FC37A9" w:rsidP="00FC37A9">
            <w:pPr>
              <w:spacing w:after="0" w:line="240" w:lineRule="auto"/>
              <w:jc w:val="center"/>
              <w:rPr>
                <w:rFonts w:ascii="Arial" w:eastAsia="Times New Roman" w:hAnsi="Arial" w:cs="Arial"/>
                <w:color w:val="000000"/>
                <w:lang w:eastAsia="en-GB"/>
              </w:rPr>
            </w:pPr>
            <w:r w:rsidRPr="00FC37A9">
              <w:rPr>
                <w:rFonts w:ascii="Arial" w:hAnsi="Arial" w:cs="Arial"/>
              </w:rPr>
              <w:t xml:space="preserve"> 67,505 </w:t>
            </w:r>
          </w:p>
        </w:tc>
      </w:tr>
      <w:tr w:rsidR="00FC37A9" w:rsidRPr="00755EAA" w14:paraId="0E4299CF" w14:textId="149CB935" w:rsidTr="00FC37A9">
        <w:trPr>
          <w:trHeight w:val="132"/>
          <w:jc w:val="center"/>
        </w:trPr>
        <w:tc>
          <w:tcPr>
            <w:tcW w:w="1907" w:type="dxa"/>
            <w:shd w:val="clear" w:color="auto" w:fill="auto"/>
            <w:noWrap/>
            <w:vAlign w:val="bottom"/>
            <w:hideMark/>
          </w:tcPr>
          <w:p w14:paraId="0BC1EB99" w14:textId="1FA200C8"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Mixed</w:t>
            </w:r>
          </w:p>
        </w:tc>
        <w:tc>
          <w:tcPr>
            <w:tcW w:w="1125" w:type="dxa"/>
            <w:shd w:val="clear" w:color="auto" w:fill="auto"/>
            <w:noWrap/>
            <w:vAlign w:val="bottom"/>
            <w:hideMark/>
          </w:tcPr>
          <w:p w14:paraId="29780CA6" w14:textId="43B33354"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71,300</w:t>
            </w:r>
          </w:p>
        </w:tc>
        <w:tc>
          <w:tcPr>
            <w:tcW w:w="1124" w:type="dxa"/>
            <w:shd w:val="clear" w:color="auto" w:fill="auto"/>
            <w:noWrap/>
            <w:vAlign w:val="bottom"/>
            <w:hideMark/>
          </w:tcPr>
          <w:p w14:paraId="7D89FB64" w14:textId="3A9FF7C0"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69,900</w:t>
            </w:r>
          </w:p>
        </w:tc>
        <w:tc>
          <w:tcPr>
            <w:tcW w:w="1125" w:type="dxa"/>
            <w:shd w:val="clear" w:color="auto" w:fill="auto"/>
            <w:noWrap/>
            <w:vAlign w:val="bottom"/>
            <w:hideMark/>
          </w:tcPr>
          <w:p w14:paraId="317E2949" w14:textId="0ECABBCF"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67,900</w:t>
            </w:r>
          </w:p>
        </w:tc>
        <w:tc>
          <w:tcPr>
            <w:tcW w:w="1124" w:type="dxa"/>
            <w:shd w:val="clear" w:color="auto" w:fill="auto"/>
            <w:noWrap/>
            <w:vAlign w:val="bottom"/>
            <w:hideMark/>
          </w:tcPr>
          <w:p w14:paraId="50029608" w14:textId="4771940D" w:rsidR="00FC37A9" w:rsidRPr="00755EAA" w:rsidRDefault="00FC37A9" w:rsidP="00FC37A9">
            <w:pPr>
              <w:spacing w:after="0" w:line="240" w:lineRule="auto"/>
              <w:jc w:val="center"/>
              <w:rPr>
                <w:rFonts w:ascii="Arial" w:eastAsia="Times New Roman" w:hAnsi="Arial" w:cs="Arial"/>
                <w:color w:val="000000"/>
                <w:lang w:eastAsia="en-GB"/>
              </w:rPr>
            </w:pPr>
            <w:r w:rsidRPr="00755EAA">
              <w:rPr>
                <w:rFonts w:ascii="Arial" w:eastAsia="Times New Roman" w:hAnsi="Arial" w:cs="Arial"/>
                <w:color w:val="000000"/>
                <w:lang w:eastAsia="en-GB"/>
              </w:rPr>
              <w:t>68,600</w:t>
            </w:r>
          </w:p>
        </w:tc>
        <w:tc>
          <w:tcPr>
            <w:tcW w:w="803" w:type="dxa"/>
          </w:tcPr>
          <w:p w14:paraId="5B79E125" w14:textId="2B71FD5D" w:rsidR="00FC37A9" w:rsidRPr="00FC37A9" w:rsidRDefault="00FC37A9" w:rsidP="00FC37A9">
            <w:pPr>
              <w:spacing w:after="0" w:line="240" w:lineRule="auto"/>
              <w:jc w:val="center"/>
              <w:rPr>
                <w:rFonts w:ascii="Arial" w:eastAsia="Times New Roman" w:hAnsi="Arial" w:cs="Arial"/>
                <w:color w:val="000000"/>
                <w:lang w:eastAsia="en-GB"/>
              </w:rPr>
            </w:pPr>
            <w:r w:rsidRPr="00FC37A9">
              <w:rPr>
                <w:rFonts w:ascii="Arial" w:hAnsi="Arial" w:cs="Arial"/>
              </w:rPr>
              <w:t xml:space="preserve"> 69,307 </w:t>
            </w:r>
          </w:p>
        </w:tc>
      </w:tr>
    </w:tbl>
    <w:p w14:paraId="4B27F632" w14:textId="520925D2" w:rsidR="00A54003" w:rsidRPr="000A2F02" w:rsidRDefault="00A54003" w:rsidP="00A54003">
      <w:pPr>
        <w:spacing w:line="276" w:lineRule="auto"/>
        <w:rPr>
          <w:rFonts w:ascii="Arial" w:hAnsi="Arial" w:cs="Arial"/>
          <w:sz w:val="20"/>
          <w:szCs w:val="20"/>
        </w:rPr>
      </w:pPr>
      <w:r w:rsidRPr="000A2F02">
        <w:rPr>
          <w:rFonts w:ascii="Arial" w:hAnsi="Arial" w:cs="Arial"/>
          <w:sz w:val="20"/>
          <w:szCs w:val="20"/>
        </w:rPr>
        <w:t xml:space="preserve">Source: </w:t>
      </w:r>
      <w:r w:rsidR="00755EAA">
        <w:rPr>
          <w:rFonts w:ascii="Arial" w:hAnsi="Arial" w:cs="Arial"/>
          <w:sz w:val="20"/>
          <w:szCs w:val="20"/>
        </w:rPr>
        <w:t xml:space="preserve">All </w:t>
      </w:r>
      <w:proofErr w:type="spellStart"/>
      <w:r w:rsidR="00755EAA">
        <w:rPr>
          <w:rFonts w:ascii="Arial" w:hAnsi="Arial" w:cs="Arial"/>
          <w:sz w:val="20"/>
          <w:szCs w:val="20"/>
        </w:rPr>
        <w:t>self employed</w:t>
      </w:r>
      <w:proofErr w:type="spellEnd"/>
      <w:r w:rsidR="00755EAA">
        <w:rPr>
          <w:rFonts w:ascii="Arial" w:hAnsi="Arial" w:cs="Arial"/>
          <w:sz w:val="20"/>
          <w:szCs w:val="20"/>
        </w:rPr>
        <w:t xml:space="preserve"> contract type </w:t>
      </w:r>
      <w:hyperlink r:id="rId19" w:history="1">
        <w:r w:rsidRPr="000A2F02">
          <w:rPr>
            <w:rStyle w:val="Hyperlink"/>
            <w:rFonts w:ascii="Arial" w:hAnsi="Arial" w:cs="Arial"/>
            <w:sz w:val="20"/>
            <w:szCs w:val="20"/>
          </w:rPr>
          <w:t>Dental earnings.</w:t>
        </w:r>
      </w:hyperlink>
      <w:r w:rsidRPr="000A2F02">
        <w:rPr>
          <w:rFonts w:ascii="Arial" w:hAnsi="Arial" w:cs="Arial"/>
          <w:sz w:val="20"/>
          <w:szCs w:val="20"/>
        </w:rPr>
        <w:t xml:space="preserve"> Note: </w:t>
      </w:r>
      <w:r w:rsidR="00FC37A9">
        <w:rPr>
          <w:rFonts w:ascii="Arial" w:hAnsi="Arial" w:cs="Arial"/>
          <w:sz w:val="20"/>
          <w:szCs w:val="20"/>
        </w:rPr>
        <w:t xml:space="preserve">18/19 earnings were not available so they were uprated by growth rate of previous year’s earnings. </w:t>
      </w:r>
      <w:r w:rsidR="00755EAA">
        <w:rPr>
          <w:rFonts w:ascii="Arial" w:hAnsi="Arial" w:cs="Arial"/>
          <w:sz w:val="20"/>
          <w:szCs w:val="20"/>
        </w:rPr>
        <w:t>TDS contract earnings were not available so “all contract types” earnings were used</w:t>
      </w:r>
      <w:r w:rsidRPr="000A2F02">
        <w:rPr>
          <w:rFonts w:ascii="Arial" w:hAnsi="Arial" w:cs="Arial"/>
          <w:sz w:val="20"/>
          <w:szCs w:val="20"/>
        </w:rPr>
        <w:t xml:space="preserve">. </w:t>
      </w:r>
    </w:p>
    <w:p w14:paraId="6DDC5B63" w14:textId="77777777" w:rsidR="005A1A7B" w:rsidRDefault="005A1A7B" w:rsidP="005A1A7B">
      <w:pPr>
        <w:rPr>
          <w:rFonts w:ascii="Arial" w:hAnsi="Arial" w:cs="Arial"/>
          <w:sz w:val="24"/>
        </w:rPr>
      </w:pPr>
    </w:p>
    <w:p w14:paraId="39AAE52B" w14:textId="44E740EF" w:rsidR="005A1A7B" w:rsidRPr="00CA4239" w:rsidRDefault="005A1A7B" w:rsidP="005A1A7B">
      <w:pPr>
        <w:pStyle w:val="ListParagraph"/>
        <w:numPr>
          <w:ilvl w:val="0"/>
          <w:numId w:val="6"/>
        </w:numPr>
        <w:rPr>
          <w:rFonts w:ascii="Arial" w:hAnsi="Arial" w:cs="Arial"/>
          <w:sz w:val="24"/>
        </w:rPr>
      </w:pPr>
      <w:r>
        <w:rPr>
          <w:rFonts w:ascii="Arial" w:hAnsi="Arial" w:cs="Arial"/>
          <w:sz w:val="24"/>
        </w:rPr>
        <w:lastRenderedPageBreak/>
        <w:t xml:space="preserve">Changes in </w:t>
      </w:r>
      <w:r w:rsidR="00A54003">
        <w:rPr>
          <w:rFonts w:ascii="Arial" w:hAnsi="Arial" w:cs="Arial"/>
          <w:sz w:val="24"/>
        </w:rPr>
        <w:t>dentists’ pay</w:t>
      </w:r>
      <w:r>
        <w:rPr>
          <w:rFonts w:ascii="Arial" w:hAnsi="Arial" w:cs="Arial"/>
          <w:sz w:val="24"/>
        </w:rPr>
        <w:t xml:space="preserve"> will be used as an indication of</w:t>
      </w:r>
      <w:r w:rsidR="00A54003">
        <w:rPr>
          <w:rFonts w:ascii="Arial" w:hAnsi="Arial" w:cs="Arial"/>
          <w:sz w:val="24"/>
        </w:rPr>
        <w:t xml:space="preserve"> pay</w:t>
      </w:r>
      <w:r>
        <w:rPr>
          <w:rFonts w:ascii="Arial" w:hAnsi="Arial" w:cs="Arial"/>
          <w:sz w:val="24"/>
        </w:rPr>
        <w:t xml:space="preserve"> inflation in Dentistry. </w:t>
      </w:r>
      <w:r w:rsidR="00A54003">
        <w:rPr>
          <w:rFonts w:ascii="Arial" w:hAnsi="Arial" w:cs="Arial"/>
          <w:sz w:val="24"/>
        </w:rPr>
        <w:t xml:space="preserve">Non-pay will be treated as one category of spend due to lack of available data. </w:t>
      </w:r>
    </w:p>
    <w:p w14:paraId="2D2E7F4A" w14:textId="77777777" w:rsidR="004E73E1" w:rsidRPr="00BD6196" w:rsidRDefault="004E73E1" w:rsidP="00BD6196">
      <w:pPr>
        <w:spacing w:line="276" w:lineRule="auto"/>
        <w:rPr>
          <w:rFonts w:ascii="Arial" w:hAnsi="Arial" w:cs="Arial"/>
          <w:sz w:val="24"/>
        </w:rPr>
      </w:pPr>
    </w:p>
    <w:p w14:paraId="1A5EA71A" w14:textId="433009FF" w:rsidR="0001033B" w:rsidRPr="00BD6196" w:rsidRDefault="00F22E58" w:rsidP="00BD6196">
      <w:pPr>
        <w:spacing w:line="276" w:lineRule="auto"/>
        <w:rPr>
          <w:rFonts w:ascii="Arial" w:hAnsi="Arial" w:cs="Arial"/>
          <w:b/>
          <w:sz w:val="28"/>
        </w:rPr>
      </w:pPr>
      <w:r w:rsidRPr="00BD6196">
        <w:rPr>
          <w:rFonts w:ascii="Arial" w:hAnsi="Arial" w:cs="Arial"/>
          <w:b/>
          <w:sz w:val="28"/>
        </w:rPr>
        <w:t>Deflator</w:t>
      </w:r>
      <w:r w:rsidR="0092721F" w:rsidRPr="00BD6196">
        <w:rPr>
          <w:rFonts w:ascii="Arial" w:hAnsi="Arial" w:cs="Arial"/>
          <w:b/>
          <w:sz w:val="28"/>
        </w:rPr>
        <w:t>s</w:t>
      </w:r>
      <w:r w:rsidR="00D1458E" w:rsidRPr="00BD6196">
        <w:rPr>
          <w:rFonts w:ascii="Arial" w:hAnsi="Arial" w:cs="Arial"/>
          <w:b/>
          <w:sz w:val="28"/>
        </w:rPr>
        <w:t xml:space="preserve"> </w:t>
      </w:r>
    </w:p>
    <w:p w14:paraId="297CEDAC" w14:textId="43FCB7F7" w:rsidR="00F22E58" w:rsidRDefault="008F1847" w:rsidP="00BD6196">
      <w:pPr>
        <w:pStyle w:val="ListParagraph"/>
        <w:numPr>
          <w:ilvl w:val="0"/>
          <w:numId w:val="6"/>
        </w:numPr>
        <w:spacing w:line="276" w:lineRule="auto"/>
        <w:rPr>
          <w:rFonts w:ascii="Arial" w:hAnsi="Arial" w:cs="Arial"/>
          <w:sz w:val="24"/>
        </w:rPr>
      </w:pPr>
      <w:r w:rsidRPr="00BD6196">
        <w:rPr>
          <w:rFonts w:ascii="Arial" w:hAnsi="Arial" w:cs="Arial"/>
          <w:sz w:val="24"/>
        </w:rPr>
        <w:t>A working group consisting of DHSC, ONS, York and NHS colleagues was established t</w:t>
      </w:r>
      <w:r w:rsidR="009D276B" w:rsidRPr="00BD6196">
        <w:rPr>
          <w:rFonts w:ascii="Arial" w:hAnsi="Arial" w:cs="Arial"/>
          <w:sz w:val="24"/>
        </w:rPr>
        <w:t xml:space="preserve">o </w:t>
      </w:r>
      <w:r w:rsidRPr="00BD6196">
        <w:rPr>
          <w:rFonts w:ascii="Arial" w:hAnsi="Arial" w:cs="Arial"/>
          <w:sz w:val="24"/>
        </w:rPr>
        <w:t xml:space="preserve">find appropriate deflators </w:t>
      </w:r>
      <w:r w:rsidR="0092721F" w:rsidRPr="00BD6196">
        <w:rPr>
          <w:rFonts w:ascii="Arial" w:hAnsi="Arial" w:cs="Arial"/>
          <w:sz w:val="24"/>
        </w:rPr>
        <w:t xml:space="preserve">to adjust for inflation in </w:t>
      </w:r>
      <w:r w:rsidRPr="00BD6196">
        <w:rPr>
          <w:rFonts w:ascii="Arial" w:hAnsi="Arial" w:cs="Arial"/>
          <w:sz w:val="24"/>
        </w:rPr>
        <w:t xml:space="preserve">the </w:t>
      </w:r>
      <w:r w:rsidR="0092721F" w:rsidRPr="00BD6196">
        <w:rPr>
          <w:rFonts w:ascii="Arial" w:hAnsi="Arial" w:cs="Arial"/>
          <w:sz w:val="24"/>
        </w:rPr>
        <w:t>different</w:t>
      </w:r>
      <w:r w:rsidRPr="00BD6196">
        <w:rPr>
          <w:rFonts w:ascii="Arial" w:hAnsi="Arial" w:cs="Arial"/>
          <w:sz w:val="24"/>
        </w:rPr>
        <w:t xml:space="preserve"> </w:t>
      </w:r>
      <w:r w:rsidR="0092721F" w:rsidRPr="00BD6196">
        <w:rPr>
          <w:rFonts w:ascii="Arial" w:hAnsi="Arial" w:cs="Arial"/>
          <w:sz w:val="24"/>
        </w:rPr>
        <w:t>items of NHS spend</w:t>
      </w:r>
      <w:r w:rsidRPr="00BD6196">
        <w:rPr>
          <w:rFonts w:ascii="Arial" w:hAnsi="Arial" w:cs="Arial"/>
          <w:sz w:val="24"/>
        </w:rPr>
        <w:t xml:space="preserve">. </w:t>
      </w:r>
      <w:r w:rsidR="00B47CE9" w:rsidRPr="00BD6196">
        <w:rPr>
          <w:rFonts w:ascii="Arial" w:hAnsi="Arial" w:cs="Arial"/>
          <w:sz w:val="24"/>
        </w:rPr>
        <w:t>T</w:t>
      </w:r>
      <w:r w:rsidR="00F22E58" w:rsidRPr="00BD6196">
        <w:rPr>
          <w:rFonts w:ascii="Arial" w:hAnsi="Arial" w:cs="Arial"/>
          <w:sz w:val="24"/>
        </w:rPr>
        <w:t xml:space="preserve">he following </w:t>
      </w:r>
      <w:r w:rsidR="00D1458E" w:rsidRPr="00BD6196">
        <w:rPr>
          <w:rFonts w:ascii="Arial" w:hAnsi="Arial" w:cs="Arial"/>
          <w:sz w:val="24"/>
        </w:rPr>
        <w:t xml:space="preserve">section </w:t>
      </w:r>
      <w:r w:rsidR="00F22E58" w:rsidRPr="00BD6196">
        <w:rPr>
          <w:rFonts w:ascii="Arial" w:hAnsi="Arial" w:cs="Arial"/>
          <w:sz w:val="24"/>
        </w:rPr>
        <w:t xml:space="preserve">identifies </w:t>
      </w:r>
      <w:r w:rsidR="0040163A" w:rsidRPr="00BD6196">
        <w:rPr>
          <w:rFonts w:ascii="Arial" w:hAnsi="Arial" w:cs="Arial"/>
          <w:sz w:val="24"/>
        </w:rPr>
        <w:t xml:space="preserve">the deflators </w:t>
      </w:r>
      <w:r w:rsidR="0092721F" w:rsidRPr="00BD6196">
        <w:rPr>
          <w:rFonts w:ascii="Arial" w:hAnsi="Arial" w:cs="Arial"/>
          <w:sz w:val="24"/>
        </w:rPr>
        <w:t>agreed on for each item of spend</w:t>
      </w:r>
      <w:r w:rsidR="006B64DA" w:rsidRPr="00BD6196">
        <w:rPr>
          <w:rFonts w:ascii="Arial" w:hAnsi="Arial" w:cs="Arial"/>
          <w:sz w:val="24"/>
        </w:rPr>
        <w:t xml:space="preserve">. </w:t>
      </w:r>
    </w:p>
    <w:p w14:paraId="512A4DEE" w14:textId="77777777" w:rsidR="00FC37A9" w:rsidRPr="00BD6196" w:rsidRDefault="00FC37A9" w:rsidP="00FC37A9">
      <w:pPr>
        <w:pStyle w:val="ListParagraph"/>
        <w:spacing w:line="276" w:lineRule="auto"/>
        <w:ind w:left="360"/>
        <w:rPr>
          <w:rFonts w:ascii="Arial" w:hAnsi="Arial" w:cs="Arial"/>
          <w:sz w:val="24"/>
        </w:rPr>
      </w:pPr>
    </w:p>
    <w:p w14:paraId="4EA27FDA" w14:textId="7E243501" w:rsidR="0092721F" w:rsidRPr="00BD6196" w:rsidRDefault="0092721F"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The deflators have been chosen based on informed recommendations </w:t>
      </w:r>
      <w:r w:rsidR="00FC400A" w:rsidRPr="00BD6196">
        <w:rPr>
          <w:rFonts w:ascii="Arial" w:hAnsi="Arial" w:cs="Arial"/>
          <w:sz w:val="24"/>
        </w:rPr>
        <w:t>based on</w:t>
      </w:r>
      <w:r w:rsidRPr="00BD6196">
        <w:rPr>
          <w:rFonts w:ascii="Arial" w:hAnsi="Arial" w:cs="Arial"/>
          <w:sz w:val="24"/>
        </w:rPr>
        <w:t xml:space="preserve"> analys</w:t>
      </w:r>
      <w:r w:rsidR="00FC400A" w:rsidRPr="00BD6196">
        <w:rPr>
          <w:rFonts w:ascii="Arial" w:hAnsi="Arial" w:cs="Arial"/>
          <w:sz w:val="24"/>
        </w:rPr>
        <w:t>es of</w:t>
      </w:r>
      <w:r w:rsidRPr="00BD6196">
        <w:rPr>
          <w:rFonts w:ascii="Arial" w:hAnsi="Arial" w:cs="Arial"/>
          <w:sz w:val="24"/>
        </w:rPr>
        <w:t xml:space="preserve"> what each </w:t>
      </w:r>
      <w:r w:rsidR="00FC400A" w:rsidRPr="00BD6196">
        <w:rPr>
          <w:rFonts w:ascii="Arial" w:hAnsi="Arial" w:cs="Arial"/>
          <w:sz w:val="24"/>
        </w:rPr>
        <w:t xml:space="preserve">NHS </w:t>
      </w:r>
      <w:r w:rsidRPr="00BD6196">
        <w:rPr>
          <w:rFonts w:ascii="Arial" w:hAnsi="Arial" w:cs="Arial"/>
          <w:sz w:val="24"/>
        </w:rPr>
        <w:t xml:space="preserve">spend item consists of and what type of inflation it could face. </w:t>
      </w:r>
    </w:p>
    <w:p w14:paraId="334CD526" w14:textId="5EFC7D13" w:rsidR="00FC5F7D" w:rsidRDefault="00FC5F7D" w:rsidP="00A54003">
      <w:pPr>
        <w:pStyle w:val="ListParagraph"/>
        <w:spacing w:line="276" w:lineRule="auto"/>
        <w:ind w:left="0"/>
        <w:rPr>
          <w:rFonts w:ascii="Arial" w:hAnsi="Arial" w:cs="Arial"/>
          <w:sz w:val="24"/>
        </w:rPr>
      </w:pPr>
    </w:p>
    <w:p w14:paraId="5465ABBC" w14:textId="299D5178" w:rsidR="000C434D" w:rsidRDefault="000C434D" w:rsidP="00BD6196">
      <w:pPr>
        <w:spacing w:line="276" w:lineRule="auto"/>
        <w:rPr>
          <w:rFonts w:ascii="Arial" w:hAnsi="Arial" w:cs="Arial"/>
          <w:b/>
          <w:sz w:val="24"/>
        </w:rPr>
      </w:pPr>
      <w:r w:rsidRPr="00BD6196">
        <w:rPr>
          <w:rFonts w:ascii="Arial" w:hAnsi="Arial" w:cs="Arial"/>
          <w:b/>
          <w:sz w:val="24"/>
        </w:rPr>
        <w:t xml:space="preserve">NHS Providers </w:t>
      </w:r>
    </w:p>
    <w:p w14:paraId="134B31A7" w14:textId="3A307C69" w:rsidR="00BD6196" w:rsidRPr="00BD6196" w:rsidRDefault="00BD6196" w:rsidP="00126EB2">
      <w:pPr>
        <w:spacing w:after="0" w:line="276" w:lineRule="auto"/>
        <w:jc w:val="center"/>
        <w:rPr>
          <w:rFonts w:ascii="Arial" w:hAnsi="Arial" w:cs="Arial"/>
          <w:b/>
          <w:sz w:val="24"/>
        </w:rPr>
      </w:pPr>
      <w:r w:rsidRPr="00BD6196">
        <w:rPr>
          <w:rFonts w:ascii="Arial" w:hAnsi="Arial" w:cs="Arial"/>
          <w:sz w:val="24"/>
          <w:u w:val="single"/>
        </w:rPr>
        <w:t xml:space="preserve">Table </w:t>
      </w:r>
      <w:r>
        <w:rPr>
          <w:rFonts w:ascii="Arial" w:hAnsi="Arial" w:cs="Arial"/>
          <w:sz w:val="24"/>
          <w:u w:val="single"/>
        </w:rPr>
        <w:t>10</w:t>
      </w:r>
      <w:r w:rsidRPr="00BD6196">
        <w:rPr>
          <w:rFonts w:ascii="Arial" w:hAnsi="Arial" w:cs="Arial"/>
          <w:sz w:val="24"/>
          <w:u w:val="single"/>
        </w:rPr>
        <w:t xml:space="preserve">: </w:t>
      </w:r>
      <w:r>
        <w:rPr>
          <w:rFonts w:ascii="Arial" w:hAnsi="Arial" w:cs="Arial"/>
          <w:sz w:val="24"/>
          <w:u w:val="single"/>
        </w:rPr>
        <w:t>NHS Provider</w:t>
      </w:r>
      <w:r w:rsidR="00126EB2">
        <w:rPr>
          <w:rFonts w:ascii="Arial" w:hAnsi="Arial" w:cs="Arial"/>
          <w:sz w:val="24"/>
          <w:u w:val="single"/>
        </w:rPr>
        <w:t xml:space="preserve"> spend</w:t>
      </w:r>
      <w:r>
        <w:rPr>
          <w:rFonts w:ascii="Arial" w:hAnsi="Arial" w:cs="Arial"/>
          <w:sz w:val="24"/>
          <w:u w:val="single"/>
        </w:rPr>
        <w:t xml:space="preserve"> deflators</w:t>
      </w:r>
    </w:p>
    <w:tbl>
      <w:tblPr>
        <w:tblW w:w="8414" w:type="dxa"/>
        <w:jc w:val="center"/>
        <w:tblLook w:val="04A0" w:firstRow="1" w:lastRow="0" w:firstColumn="1" w:lastColumn="0" w:noHBand="0" w:noVBand="1"/>
      </w:tblPr>
      <w:tblGrid>
        <w:gridCol w:w="2405"/>
        <w:gridCol w:w="17"/>
        <w:gridCol w:w="5992"/>
      </w:tblGrid>
      <w:tr w:rsidR="0050676B" w:rsidRPr="00BD6196" w14:paraId="5E9A4670" w14:textId="77777777" w:rsidTr="00CC7D9E">
        <w:trPr>
          <w:trHeight w:val="277"/>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35537AC9" w14:textId="7E1861E3" w:rsidR="0050676B" w:rsidRPr="00BD6196" w:rsidRDefault="0050676B"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Employee expenses</w:t>
            </w:r>
            <w:r w:rsidR="00A042A8" w:rsidRPr="00BD6196">
              <w:rPr>
                <w:rFonts w:ascii="Arial" w:eastAsia="Times New Roman" w:hAnsi="Arial" w:cs="Arial"/>
                <w:b/>
                <w:color w:val="000000"/>
                <w:szCs w:val="24"/>
                <w:lang w:eastAsia="en-GB"/>
              </w:rPr>
              <w:t>, Non-executive directors, Redundancy, Early retirements, Education and Training</w:t>
            </w:r>
          </w:p>
        </w:tc>
      </w:tr>
      <w:tr w:rsidR="0050676B" w:rsidRPr="00BD6196" w14:paraId="7A6A15EE" w14:textId="77777777" w:rsidTr="00CC7D9E">
        <w:trPr>
          <w:trHeight w:val="47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F8D1339" w14:textId="77777777" w:rsidR="0050676B" w:rsidRPr="00BD6196" w:rsidRDefault="0050676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6009" w:type="dxa"/>
            <w:gridSpan w:val="2"/>
            <w:tcBorders>
              <w:top w:val="nil"/>
              <w:left w:val="nil"/>
              <w:bottom w:val="single" w:sz="4" w:space="0" w:color="auto"/>
              <w:right w:val="single" w:sz="4" w:space="0" w:color="auto"/>
            </w:tcBorders>
            <w:shd w:val="clear" w:color="auto" w:fill="auto"/>
            <w:noWrap/>
            <w:vAlign w:val="center"/>
            <w:hideMark/>
          </w:tcPr>
          <w:p w14:paraId="4227580F" w14:textId="15B65173" w:rsidR="0050676B" w:rsidRPr="00BD6196" w:rsidRDefault="0050676B"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~64</w:t>
            </w:r>
            <w:r w:rsidR="00A042A8" w:rsidRPr="00BD6196">
              <w:rPr>
                <w:rFonts w:ascii="Arial" w:eastAsia="Times New Roman" w:hAnsi="Arial" w:cs="Arial"/>
                <w:color w:val="000000"/>
                <w:szCs w:val="24"/>
                <w:lang w:eastAsia="en-GB"/>
              </w:rPr>
              <w:t>.4</w:t>
            </w:r>
            <w:r w:rsidRPr="00BD6196">
              <w:rPr>
                <w:rFonts w:ascii="Arial" w:eastAsia="Times New Roman" w:hAnsi="Arial" w:cs="Arial"/>
                <w:color w:val="000000"/>
                <w:szCs w:val="24"/>
                <w:lang w:eastAsia="en-GB"/>
              </w:rPr>
              <w:t>%</w:t>
            </w:r>
            <w:r w:rsidR="00A042A8" w:rsidRPr="00BD6196">
              <w:rPr>
                <w:rFonts w:ascii="Arial" w:eastAsia="Times New Roman" w:hAnsi="Arial" w:cs="Arial"/>
                <w:color w:val="000000"/>
                <w:szCs w:val="24"/>
                <w:lang w:eastAsia="en-GB"/>
              </w:rPr>
              <w:t xml:space="preserve"> (cumulative)</w:t>
            </w:r>
          </w:p>
        </w:tc>
      </w:tr>
      <w:tr w:rsidR="0050676B" w:rsidRPr="00BD6196" w14:paraId="1C3ACE9F" w14:textId="77777777" w:rsidTr="00CC7D9E">
        <w:trPr>
          <w:trHeight w:val="472"/>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2D84D89" w14:textId="77777777" w:rsidR="0050676B" w:rsidRPr="00BD6196" w:rsidRDefault="0050676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6009" w:type="dxa"/>
            <w:gridSpan w:val="2"/>
            <w:tcBorders>
              <w:top w:val="nil"/>
              <w:left w:val="nil"/>
              <w:bottom w:val="single" w:sz="4" w:space="0" w:color="auto"/>
              <w:right w:val="single" w:sz="4" w:space="0" w:color="auto"/>
            </w:tcBorders>
            <w:shd w:val="clear" w:color="auto" w:fill="auto"/>
            <w:noWrap/>
            <w:vAlign w:val="center"/>
            <w:hideMark/>
          </w:tcPr>
          <w:p w14:paraId="4F236732" w14:textId="714A2B28" w:rsidR="00A042A8" w:rsidRPr="00BD6196" w:rsidRDefault="0050676B" w:rsidP="00BD6196">
            <w:pPr>
              <w:spacing w:line="276" w:lineRule="auto"/>
              <w:rPr>
                <w:rFonts w:ascii="Arial" w:hAnsi="Arial" w:cs="Arial"/>
                <w:szCs w:val="24"/>
              </w:rPr>
            </w:pPr>
            <w:r w:rsidRPr="00BD6196">
              <w:rPr>
                <w:rFonts w:ascii="Arial" w:hAnsi="Arial" w:cs="Arial"/>
                <w:szCs w:val="24"/>
              </w:rPr>
              <w:t>payment</w:t>
            </w:r>
            <w:r w:rsidR="00A042A8" w:rsidRPr="00BD6196">
              <w:rPr>
                <w:rFonts w:ascii="Arial" w:hAnsi="Arial" w:cs="Arial"/>
                <w:szCs w:val="24"/>
              </w:rPr>
              <w:t>s</w:t>
            </w:r>
            <w:r w:rsidRPr="00BD6196">
              <w:rPr>
                <w:rFonts w:ascii="Arial" w:hAnsi="Arial" w:cs="Arial"/>
                <w:szCs w:val="24"/>
              </w:rPr>
              <w:t xml:space="preserve"> </w:t>
            </w:r>
            <w:r w:rsidR="0092721F" w:rsidRPr="00BD6196">
              <w:rPr>
                <w:rFonts w:ascii="Arial" w:hAnsi="Arial" w:cs="Arial"/>
                <w:szCs w:val="24"/>
              </w:rPr>
              <w:t>made to</w:t>
            </w:r>
            <w:r w:rsidRPr="00BD6196">
              <w:rPr>
                <w:rFonts w:ascii="Arial" w:hAnsi="Arial" w:cs="Arial"/>
                <w:szCs w:val="24"/>
              </w:rPr>
              <w:t xml:space="preserve"> NHS staff</w:t>
            </w:r>
            <w:r w:rsidR="0092721F" w:rsidRPr="00BD6196">
              <w:rPr>
                <w:rFonts w:ascii="Arial" w:hAnsi="Arial" w:cs="Arial"/>
                <w:szCs w:val="24"/>
              </w:rPr>
              <w:t xml:space="preserve">. </w:t>
            </w:r>
            <w:r w:rsidR="004F4D38" w:rsidRPr="00BD6196">
              <w:rPr>
                <w:rFonts w:ascii="Arial" w:hAnsi="Arial" w:cs="Arial"/>
                <w:szCs w:val="24"/>
              </w:rPr>
              <w:t>T</w:t>
            </w:r>
            <w:r w:rsidR="00A042A8" w:rsidRPr="00BD6196">
              <w:rPr>
                <w:rFonts w:ascii="Arial" w:hAnsi="Arial" w:cs="Arial"/>
                <w:szCs w:val="24"/>
              </w:rPr>
              <w:t>raining may include languages, IT skills and health and safety.</w:t>
            </w:r>
          </w:p>
        </w:tc>
      </w:tr>
      <w:tr w:rsidR="0050676B" w:rsidRPr="00BD6196" w14:paraId="10B3620D" w14:textId="77777777" w:rsidTr="00CC7D9E">
        <w:trPr>
          <w:trHeight w:val="472"/>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5AFE" w14:textId="4162211E" w:rsidR="0050676B" w:rsidRPr="00BD6196" w:rsidRDefault="0050676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w:t>
            </w:r>
            <w:r w:rsidR="0092721F" w:rsidRPr="00BD6196">
              <w:rPr>
                <w:rFonts w:ascii="Arial" w:eastAsia="Times New Roman" w:hAnsi="Arial" w:cs="Arial"/>
                <w:color w:val="000000"/>
                <w:szCs w:val="24"/>
                <w:lang w:eastAsia="en-GB"/>
              </w:rPr>
              <w:t>(s)</w:t>
            </w:r>
          </w:p>
        </w:tc>
        <w:tc>
          <w:tcPr>
            <w:tcW w:w="60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AC8B38" w14:textId="479579A9"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The main source of inflation </w:t>
            </w:r>
            <w:r w:rsidR="00451BC7">
              <w:rPr>
                <w:rFonts w:ascii="Arial" w:hAnsi="Arial" w:cs="Arial"/>
                <w:szCs w:val="24"/>
              </w:rPr>
              <w:t xml:space="preserve">is </w:t>
            </w:r>
            <w:r w:rsidRPr="00BD6196">
              <w:rPr>
                <w:rFonts w:ascii="Arial" w:hAnsi="Arial" w:cs="Arial"/>
                <w:szCs w:val="24"/>
              </w:rPr>
              <w:t xml:space="preserve">changes in unit pay which is available from ESR pay data. </w:t>
            </w:r>
          </w:p>
          <w:p w14:paraId="19ACFF06" w14:textId="77777777" w:rsidR="0092721F" w:rsidRPr="00BD6196" w:rsidRDefault="0092721F" w:rsidP="00BD6196">
            <w:pPr>
              <w:spacing w:after="0" w:line="276" w:lineRule="auto"/>
              <w:rPr>
                <w:rFonts w:ascii="Arial" w:hAnsi="Arial" w:cs="Arial"/>
                <w:szCs w:val="24"/>
              </w:rPr>
            </w:pPr>
          </w:p>
          <w:p w14:paraId="39451617" w14:textId="58BB99DE" w:rsidR="0050676B" w:rsidRPr="00BD6196" w:rsidRDefault="000A4277" w:rsidP="00BD6196">
            <w:pPr>
              <w:spacing w:after="0" w:line="276" w:lineRule="auto"/>
              <w:rPr>
                <w:rFonts w:ascii="Arial" w:hAnsi="Arial" w:cs="Arial"/>
                <w:szCs w:val="24"/>
              </w:rPr>
            </w:pPr>
            <w:r w:rsidRPr="00BD6196">
              <w:rPr>
                <w:rFonts w:ascii="Arial" w:hAnsi="Arial" w:cs="Arial"/>
                <w:szCs w:val="24"/>
              </w:rPr>
              <w:t>A</w:t>
            </w:r>
            <w:r w:rsidR="0092721F" w:rsidRPr="00BD6196">
              <w:rPr>
                <w:rFonts w:ascii="Arial" w:hAnsi="Arial" w:cs="Arial"/>
                <w:szCs w:val="24"/>
              </w:rPr>
              <w:t xml:space="preserve"> </w:t>
            </w:r>
            <w:r w:rsidR="00405869" w:rsidRPr="00BD6196">
              <w:rPr>
                <w:rFonts w:ascii="Arial" w:hAnsi="Arial" w:cs="Arial"/>
                <w:szCs w:val="24"/>
              </w:rPr>
              <w:t xml:space="preserve">calculated </w:t>
            </w:r>
            <w:proofErr w:type="spellStart"/>
            <w:r w:rsidR="0050676B" w:rsidRPr="00BD6196">
              <w:rPr>
                <w:rFonts w:ascii="Arial" w:hAnsi="Arial" w:cs="Arial"/>
                <w:szCs w:val="24"/>
              </w:rPr>
              <w:t>Paasche</w:t>
            </w:r>
            <w:proofErr w:type="spellEnd"/>
            <w:r w:rsidR="0050676B" w:rsidRPr="00BD6196">
              <w:rPr>
                <w:rFonts w:ascii="Arial" w:hAnsi="Arial" w:cs="Arial"/>
                <w:szCs w:val="24"/>
              </w:rPr>
              <w:t xml:space="preserve"> </w:t>
            </w:r>
            <w:r w:rsidR="00405869" w:rsidRPr="00BD6196">
              <w:rPr>
                <w:rFonts w:ascii="Arial" w:hAnsi="Arial" w:cs="Arial"/>
                <w:szCs w:val="24"/>
              </w:rPr>
              <w:t>p</w:t>
            </w:r>
            <w:r w:rsidR="0092721F" w:rsidRPr="00BD6196">
              <w:rPr>
                <w:rFonts w:ascii="Arial" w:hAnsi="Arial" w:cs="Arial"/>
                <w:szCs w:val="24"/>
              </w:rPr>
              <w:t xml:space="preserve">ay </w:t>
            </w:r>
            <w:r w:rsidR="00405869" w:rsidRPr="00BD6196">
              <w:rPr>
                <w:rFonts w:ascii="Arial" w:hAnsi="Arial" w:cs="Arial"/>
                <w:szCs w:val="24"/>
              </w:rPr>
              <w:t>i</w:t>
            </w:r>
            <w:r w:rsidR="0050676B" w:rsidRPr="00BD6196">
              <w:rPr>
                <w:rFonts w:ascii="Arial" w:hAnsi="Arial" w:cs="Arial"/>
                <w:szCs w:val="24"/>
              </w:rPr>
              <w:t>ndex</w:t>
            </w:r>
            <w:r w:rsidR="0050676B" w:rsidRPr="00BD6196">
              <w:rPr>
                <w:rStyle w:val="FootnoteReference"/>
                <w:rFonts w:ascii="Arial" w:hAnsi="Arial" w:cs="Arial"/>
                <w:szCs w:val="24"/>
              </w:rPr>
              <w:footnoteReference w:id="1"/>
            </w:r>
            <w:r w:rsidR="0050676B" w:rsidRPr="00BD6196">
              <w:rPr>
                <w:rFonts w:ascii="Arial" w:hAnsi="Arial" w:cs="Arial"/>
                <w:szCs w:val="24"/>
              </w:rPr>
              <w:t xml:space="preserve"> </w:t>
            </w:r>
            <w:r w:rsidR="00405869" w:rsidRPr="00BD6196">
              <w:rPr>
                <w:rFonts w:ascii="Arial" w:hAnsi="Arial" w:cs="Arial"/>
                <w:szCs w:val="24"/>
              </w:rPr>
              <w:t>measure</w:t>
            </w:r>
            <w:r w:rsidR="00451BC7">
              <w:rPr>
                <w:rFonts w:ascii="Arial" w:hAnsi="Arial" w:cs="Arial"/>
                <w:szCs w:val="24"/>
              </w:rPr>
              <w:t>s</w:t>
            </w:r>
            <w:r w:rsidRPr="00BD6196">
              <w:rPr>
                <w:rFonts w:ascii="Arial" w:hAnsi="Arial" w:cs="Arial"/>
                <w:szCs w:val="24"/>
              </w:rPr>
              <w:t xml:space="preserve"> </w:t>
            </w:r>
            <w:r w:rsidR="0092721F" w:rsidRPr="00BD6196">
              <w:rPr>
                <w:rFonts w:ascii="Arial" w:hAnsi="Arial" w:cs="Arial"/>
                <w:szCs w:val="24"/>
              </w:rPr>
              <w:t xml:space="preserve">change in unit cost of staff keeping staff volumes fixed. </w:t>
            </w:r>
          </w:p>
          <w:p w14:paraId="295082B7" w14:textId="6B5BBBEB" w:rsidR="0092721F" w:rsidRPr="00BD6196" w:rsidRDefault="0092721F" w:rsidP="00BD6196">
            <w:pPr>
              <w:spacing w:after="0" w:line="276" w:lineRule="auto"/>
              <w:rPr>
                <w:rFonts w:ascii="Arial" w:eastAsia="Times New Roman" w:hAnsi="Arial" w:cs="Arial"/>
                <w:color w:val="000000"/>
                <w:szCs w:val="24"/>
                <w:lang w:eastAsia="en-GB"/>
              </w:rPr>
            </w:pPr>
          </w:p>
        </w:tc>
      </w:tr>
      <w:tr w:rsidR="0050676B" w:rsidRPr="00BD6196" w14:paraId="6195D393" w14:textId="77777777" w:rsidTr="00CC7D9E">
        <w:trPr>
          <w:trHeight w:val="472"/>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5A501" w14:textId="3C4F5CB2" w:rsidR="0050676B" w:rsidRPr="00BD6196" w:rsidRDefault="0050676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6009" w:type="dxa"/>
            <w:gridSpan w:val="2"/>
            <w:tcBorders>
              <w:top w:val="single" w:sz="4" w:space="0" w:color="auto"/>
              <w:left w:val="nil"/>
              <w:bottom w:val="single" w:sz="4" w:space="0" w:color="auto"/>
              <w:right w:val="single" w:sz="4" w:space="0" w:color="auto"/>
            </w:tcBorders>
            <w:shd w:val="clear" w:color="auto" w:fill="auto"/>
            <w:noWrap/>
            <w:vAlign w:val="center"/>
          </w:tcPr>
          <w:p w14:paraId="786D084D" w14:textId="36736DA3" w:rsidR="00451BC7" w:rsidRPr="0050412C" w:rsidRDefault="00451BC7" w:rsidP="00BD6196">
            <w:pPr>
              <w:spacing w:after="0" w:line="276" w:lineRule="auto"/>
              <w:rPr>
                <w:rFonts w:ascii="Arial" w:hAnsi="Arial" w:cs="Arial"/>
                <w:color w:val="FF0000"/>
                <w:szCs w:val="24"/>
              </w:rPr>
            </w:pPr>
            <w:r>
              <w:rPr>
                <w:rFonts w:ascii="Arial" w:hAnsi="Arial" w:cs="Arial"/>
                <w:szCs w:val="24"/>
              </w:rPr>
              <w:t xml:space="preserve">We have excluded certain providers (RP6, RBN, R0B) due to their inconsistent data availability. These may be included back in once their data availability normalises. </w:t>
            </w:r>
            <w:r w:rsidR="0050412C" w:rsidRPr="00655F9A">
              <w:rPr>
                <w:rFonts w:ascii="Arial" w:hAnsi="Arial" w:cs="Arial"/>
                <w:szCs w:val="24"/>
              </w:rPr>
              <w:t xml:space="preserve">They account for </w:t>
            </w:r>
            <w:r w:rsidR="00655F9A" w:rsidRPr="00655F9A">
              <w:rPr>
                <w:rFonts w:ascii="Arial" w:hAnsi="Arial" w:cs="Arial"/>
                <w:szCs w:val="24"/>
              </w:rPr>
              <w:t>1.4</w:t>
            </w:r>
            <w:r w:rsidR="0050412C" w:rsidRPr="00655F9A">
              <w:rPr>
                <w:rFonts w:ascii="Arial" w:hAnsi="Arial" w:cs="Arial"/>
                <w:szCs w:val="24"/>
              </w:rPr>
              <w:t>% of expenditure</w:t>
            </w:r>
            <w:r w:rsidR="00655F9A" w:rsidRPr="00655F9A">
              <w:rPr>
                <w:rFonts w:ascii="Arial" w:hAnsi="Arial" w:cs="Arial"/>
                <w:szCs w:val="24"/>
              </w:rPr>
              <w:t xml:space="preserve">. </w:t>
            </w:r>
            <w:r w:rsidR="0050412C" w:rsidRPr="00655F9A">
              <w:rPr>
                <w:rFonts w:ascii="Arial" w:hAnsi="Arial" w:cs="Arial"/>
                <w:szCs w:val="24"/>
              </w:rPr>
              <w:t xml:space="preserve"> </w:t>
            </w:r>
          </w:p>
          <w:p w14:paraId="5F3447DC" w14:textId="77777777" w:rsidR="00451BC7" w:rsidRDefault="00451BC7" w:rsidP="00BD6196">
            <w:pPr>
              <w:spacing w:after="0" w:line="276" w:lineRule="auto"/>
              <w:rPr>
                <w:rFonts w:ascii="Arial" w:hAnsi="Arial" w:cs="Arial"/>
                <w:szCs w:val="24"/>
              </w:rPr>
            </w:pPr>
          </w:p>
          <w:p w14:paraId="65C41C61" w14:textId="4C6922E8" w:rsidR="0050676B" w:rsidRPr="00BD6196" w:rsidRDefault="00A042A8" w:rsidP="00BD6196">
            <w:pPr>
              <w:spacing w:after="0" w:line="276" w:lineRule="auto"/>
              <w:rPr>
                <w:rFonts w:ascii="Arial" w:hAnsi="Arial" w:cs="Arial"/>
                <w:szCs w:val="24"/>
              </w:rPr>
            </w:pPr>
            <w:r w:rsidRPr="00BD6196">
              <w:rPr>
                <w:rFonts w:ascii="Arial" w:hAnsi="Arial" w:cs="Arial"/>
                <w:szCs w:val="24"/>
              </w:rPr>
              <w:t>Employee expenses d</w:t>
            </w:r>
            <w:r w:rsidR="00027A75" w:rsidRPr="00BD6196">
              <w:rPr>
                <w:rFonts w:ascii="Arial" w:hAnsi="Arial" w:cs="Arial"/>
                <w:szCs w:val="24"/>
              </w:rPr>
              <w:t xml:space="preserve">oes not </w:t>
            </w:r>
            <w:r w:rsidR="0092721F" w:rsidRPr="00BD6196">
              <w:rPr>
                <w:rFonts w:ascii="Arial" w:hAnsi="Arial" w:cs="Arial"/>
                <w:szCs w:val="24"/>
              </w:rPr>
              <w:t xml:space="preserve">yet </w:t>
            </w:r>
            <w:r w:rsidR="00027A75" w:rsidRPr="00BD6196">
              <w:rPr>
                <w:rFonts w:ascii="Arial" w:hAnsi="Arial" w:cs="Arial"/>
                <w:szCs w:val="24"/>
              </w:rPr>
              <w:t>account for bank or agency</w:t>
            </w:r>
            <w:r w:rsidRPr="00BD6196">
              <w:rPr>
                <w:rFonts w:ascii="Arial" w:hAnsi="Arial" w:cs="Arial"/>
                <w:szCs w:val="24"/>
              </w:rPr>
              <w:t xml:space="preserve"> effect</w:t>
            </w:r>
            <w:r w:rsidR="00027A75" w:rsidRPr="00BD6196">
              <w:rPr>
                <w:rFonts w:ascii="Arial" w:hAnsi="Arial" w:cs="Arial"/>
                <w:szCs w:val="24"/>
              </w:rPr>
              <w:t xml:space="preserve"> due to data unavailability.</w:t>
            </w:r>
            <w:r w:rsidR="0092721F" w:rsidRPr="00BD6196">
              <w:rPr>
                <w:rFonts w:ascii="Arial" w:hAnsi="Arial" w:cs="Arial"/>
                <w:szCs w:val="24"/>
              </w:rPr>
              <w:t xml:space="preserve"> </w:t>
            </w:r>
            <w:r w:rsidR="000A4277" w:rsidRPr="00BD6196">
              <w:rPr>
                <w:rFonts w:ascii="Arial" w:hAnsi="Arial" w:cs="Arial"/>
                <w:szCs w:val="24"/>
              </w:rPr>
              <w:t xml:space="preserve">The NHS pays for agency and bank staff, so this should also be accounted for under employee expenses. </w:t>
            </w:r>
          </w:p>
          <w:p w14:paraId="7DF81D89" w14:textId="00F3231C" w:rsidR="00A042A8" w:rsidRPr="00BD6196" w:rsidRDefault="00A042A8" w:rsidP="00BD6196">
            <w:pPr>
              <w:spacing w:after="0" w:line="276" w:lineRule="auto"/>
              <w:rPr>
                <w:rFonts w:ascii="Arial" w:hAnsi="Arial" w:cs="Arial"/>
                <w:szCs w:val="24"/>
              </w:rPr>
            </w:pPr>
          </w:p>
          <w:p w14:paraId="0A968D71" w14:textId="76C1DBFA" w:rsidR="00A042A8" w:rsidRPr="00BD6196" w:rsidRDefault="00A042A8" w:rsidP="00BD6196">
            <w:pPr>
              <w:spacing w:after="0" w:line="276" w:lineRule="auto"/>
              <w:rPr>
                <w:rFonts w:ascii="Arial" w:hAnsi="Arial" w:cs="Arial"/>
                <w:szCs w:val="24"/>
              </w:rPr>
            </w:pPr>
            <w:r w:rsidRPr="00BD6196">
              <w:rPr>
                <w:rFonts w:ascii="Arial" w:hAnsi="Arial" w:cs="Arial"/>
                <w:szCs w:val="24"/>
              </w:rPr>
              <w:t>Using ESR pay for education and training means we are assuming NHS uses its own staff to train and not externals.</w:t>
            </w:r>
          </w:p>
          <w:p w14:paraId="44B7FDF1" w14:textId="408FBFF6" w:rsidR="00A042A8" w:rsidRPr="00BD6196" w:rsidRDefault="00A042A8" w:rsidP="00BD6196">
            <w:pPr>
              <w:spacing w:after="0" w:line="276" w:lineRule="auto"/>
              <w:rPr>
                <w:rFonts w:ascii="Arial" w:hAnsi="Arial" w:cs="Arial"/>
                <w:szCs w:val="24"/>
              </w:rPr>
            </w:pPr>
          </w:p>
        </w:tc>
      </w:tr>
      <w:tr w:rsidR="00027A75" w:rsidRPr="00BD6196" w14:paraId="781CA733"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5FEF3DA4" w14:textId="26BCE4CF" w:rsidR="00027A75" w:rsidRPr="00BD6196" w:rsidRDefault="00027A75"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lastRenderedPageBreak/>
              <w:t>Drug costs</w:t>
            </w:r>
          </w:p>
        </w:tc>
      </w:tr>
      <w:tr w:rsidR="00027A75" w:rsidRPr="00BD6196" w14:paraId="653CB0ED"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473B92" w14:textId="77777777" w:rsidR="00027A75" w:rsidRPr="00BD6196" w:rsidRDefault="00027A75"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0DC54D8C" w14:textId="73EFC404" w:rsidR="00027A75" w:rsidRPr="00BD6196" w:rsidRDefault="00027A75"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~9%</w:t>
            </w:r>
          </w:p>
        </w:tc>
      </w:tr>
      <w:tr w:rsidR="00027A75" w:rsidRPr="00BD6196" w14:paraId="4D21CA3C"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5C4F5C" w14:textId="77777777" w:rsidR="00027A75" w:rsidRPr="00BD6196" w:rsidRDefault="00027A75"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445D5F67" w14:textId="1E123975" w:rsidR="00027A75" w:rsidRPr="00BD6196" w:rsidRDefault="00027A75" w:rsidP="00BD6196">
            <w:pPr>
              <w:spacing w:line="276" w:lineRule="auto"/>
              <w:rPr>
                <w:rFonts w:ascii="Arial" w:hAnsi="Arial" w:cs="Arial"/>
                <w:szCs w:val="24"/>
              </w:rPr>
            </w:pPr>
            <w:r w:rsidRPr="00BD6196">
              <w:rPr>
                <w:rFonts w:ascii="Arial" w:hAnsi="Arial" w:cs="Arial"/>
                <w:szCs w:val="24"/>
              </w:rPr>
              <w:t>spend on drugs.</w:t>
            </w:r>
          </w:p>
        </w:tc>
      </w:tr>
      <w:tr w:rsidR="0092721F" w:rsidRPr="00BD6196" w14:paraId="58C3536A"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83524" w14:textId="2266769D"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hideMark/>
          </w:tcPr>
          <w:p w14:paraId="09C6A7A5" w14:textId="24E59110"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The main source of inflation would be changes in drug prices. The most accurate available deflator for this inflation is</w:t>
            </w:r>
            <w:r w:rsidR="00405869" w:rsidRPr="00BD6196">
              <w:rPr>
                <w:rFonts w:ascii="Arial" w:eastAsia="Times New Roman" w:hAnsi="Arial" w:cs="Arial"/>
                <w:color w:val="000000"/>
                <w:szCs w:val="24"/>
                <w:lang w:eastAsia="en-GB"/>
              </w:rPr>
              <w:t>:</w:t>
            </w:r>
          </w:p>
          <w:p w14:paraId="531BD926" w14:textId="77777777" w:rsidR="0092721F" w:rsidRPr="00BD6196" w:rsidRDefault="0092721F" w:rsidP="00BD6196">
            <w:pPr>
              <w:spacing w:after="0" w:line="276" w:lineRule="auto"/>
              <w:rPr>
                <w:rFonts w:ascii="Arial" w:eastAsia="Times New Roman" w:hAnsi="Arial" w:cs="Arial"/>
                <w:color w:val="000000"/>
                <w:szCs w:val="24"/>
                <w:lang w:eastAsia="en-GB"/>
              </w:rPr>
            </w:pPr>
          </w:p>
          <w:p w14:paraId="064045E3" w14:textId="77777777" w:rsidR="0092721F" w:rsidRPr="00BD6196" w:rsidRDefault="00E47499" w:rsidP="00BD6196">
            <w:pPr>
              <w:spacing w:after="0" w:line="276" w:lineRule="auto"/>
              <w:rPr>
                <w:rFonts w:ascii="Arial" w:eastAsia="Times New Roman" w:hAnsi="Arial" w:cs="Arial"/>
                <w:color w:val="000000"/>
                <w:szCs w:val="24"/>
                <w:lang w:eastAsia="en-GB"/>
              </w:rPr>
            </w:pPr>
            <w:hyperlink r:id="rId20" w:history="1">
              <w:r w:rsidR="0092721F" w:rsidRPr="00BD6196">
                <w:rPr>
                  <w:rStyle w:val="Hyperlink"/>
                  <w:rFonts w:ascii="Arial" w:eastAsia="Times New Roman" w:hAnsi="Arial" w:cs="Arial"/>
                  <w:szCs w:val="24"/>
                  <w:lang w:eastAsia="en-GB"/>
                </w:rPr>
                <w:t>PPI 7112210000 Basic pharmaceutical products and pharmaceutical preparations</w:t>
              </w:r>
            </w:hyperlink>
          </w:p>
          <w:p w14:paraId="66FB7BA5" w14:textId="3B494DF3" w:rsidR="00045915" w:rsidRPr="00BD6196" w:rsidRDefault="00045915" w:rsidP="00BD6196">
            <w:pPr>
              <w:spacing w:after="0" w:line="276" w:lineRule="auto"/>
              <w:rPr>
                <w:rFonts w:ascii="Arial" w:eastAsia="Times New Roman" w:hAnsi="Arial" w:cs="Arial"/>
                <w:color w:val="000000"/>
                <w:szCs w:val="24"/>
                <w:lang w:eastAsia="en-GB"/>
              </w:rPr>
            </w:pPr>
          </w:p>
        </w:tc>
      </w:tr>
      <w:tr w:rsidR="0092721F" w:rsidRPr="00BD6196" w14:paraId="652F5685"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63E79E"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1C7E27D9" w14:textId="00AD6545"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The PPI is not that detailed, but detailed data on drugs expenditure is not yet possible to obtain. </w:t>
            </w:r>
            <w:r w:rsidR="00405869" w:rsidRPr="00BD6196">
              <w:rPr>
                <w:rFonts w:ascii="Arial" w:hAnsi="Arial" w:cs="Arial"/>
                <w:szCs w:val="24"/>
              </w:rPr>
              <w:t xml:space="preserve">This is the more accurate deflator we have available for now. </w:t>
            </w:r>
          </w:p>
          <w:p w14:paraId="0BB977A3" w14:textId="36455296" w:rsidR="000A4277" w:rsidRPr="00BD6196" w:rsidRDefault="000A4277" w:rsidP="00BD6196">
            <w:pPr>
              <w:spacing w:after="0" w:line="276" w:lineRule="auto"/>
              <w:rPr>
                <w:rFonts w:ascii="Arial" w:hAnsi="Arial" w:cs="Arial"/>
                <w:szCs w:val="24"/>
              </w:rPr>
            </w:pPr>
          </w:p>
        </w:tc>
      </w:tr>
      <w:tr w:rsidR="0092721F" w:rsidRPr="00BD6196" w14:paraId="7C4CCC82" w14:textId="77777777" w:rsidTr="00D1458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center"/>
            <w:hideMark/>
          </w:tcPr>
          <w:p w14:paraId="716CF701" w14:textId="5E501A7D"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Supplies and Services Clinical</w:t>
            </w:r>
          </w:p>
        </w:tc>
      </w:tr>
      <w:tr w:rsidR="0092721F" w:rsidRPr="00BD6196" w14:paraId="4835961B"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4E8DD7"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45A43943" w14:textId="4097FC50"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~8%</w:t>
            </w:r>
          </w:p>
        </w:tc>
      </w:tr>
      <w:tr w:rsidR="0092721F" w:rsidRPr="00BD6196" w14:paraId="00965130"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CC70AF"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200BD27A" w14:textId="64D06E0A" w:rsidR="0092721F" w:rsidRPr="00BD6196" w:rsidRDefault="0092721F" w:rsidP="00BD6196">
            <w:pPr>
              <w:spacing w:line="276" w:lineRule="auto"/>
              <w:rPr>
                <w:rFonts w:ascii="Arial" w:hAnsi="Arial" w:cs="Arial"/>
                <w:szCs w:val="24"/>
              </w:rPr>
            </w:pPr>
            <w:r w:rsidRPr="00BD6196">
              <w:rPr>
                <w:rFonts w:ascii="Arial" w:hAnsi="Arial" w:cs="Arial"/>
                <w:szCs w:val="24"/>
              </w:rPr>
              <w:t>spend on items used for medical purposes e.g. surgery equipment.</w:t>
            </w:r>
          </w:p>
        </w:tc>
      </w:tr>
      <w:tr w:rsidR="0092721F" w:rsidRPr="00BD6196" w14:paraId="4C17A2E8"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56120" w14:textId="68AAC845"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465BD56D" w14:textId="2E3882C9" w:rsidR="0092721F" w:rsidRPr="00BD6196" w:rsidRDefault="00E47499" w:rsidP="00BD6196">
            <w:pPr>
              <w:spacing w:after="0" w:line="276" w:lineRule="auto"/>
              <w:rPr>
                <w:rFonts w:ascii="Arial" w:eastAsia="Times New Roman" w:hAnsi="Arial" w:cs="Arial"/>
                <w:color w:val="000000"/>
                <w:szCs w:val="24"/>
                <w:lang w:eastAsia="en-GB"/>
              </w:rPr>
            </w:pPr>
            <w:hyperlink r:id="rId21" w:history="1">
              <w:r w:rsidR="0092721F" w:rsidRPr="00BD6196">
                <w:rPr>
                  <w:rStyle w:val="Hyperlink"/>
                  <w:rFonts w:ascii="Arial" w:eastAsia="Times New Roman" w:hAnsi="Arial" w:cs="Arial"/>
                  <w:szCs w:val="24"/>
                  <w:lang w:eastAsia="en-GB"/>
                </w:rPr>
                <w:t>PPI 3250000000 Medical &amp; Dental Instruments &amp; Supplies</w:t>
              </w:r>
            </w:hyperlink>
          </w:p>
        </w:tc>
      </w:tr>
      <w:tr w:rsidR="0092721F" w:rsidRPr="00BD6196" w14:paraId="3DA292D3"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D17A71"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1C532AED" w14:textId="0B8FC13C" w:rsidR="0092721F" w:rsidRPr="00BD6196" w:rsidRDefault="0092721F" w:rsidP="00BD6196">
            <w:pPr>
              <w:spacing w:after="0" w:line="276" w:lineRule="auto"/>
              <w:rPr>
                <w:rFonts w:ascii="Arial" w:hAnsi="Arial" w:cs="Arial"/>
                <w:szCs w:val="24"/>
              </w:rPr>
            </w:pPr>
            <w:r w:rsidRPr="00BD6196">
              <w:rPr>
                <w:rFonts w:ascii="Arial" w:hAnsi="Arial" w:cs="Arial"/>
                <w:szCs w:val="24"/>
              </w:rPr>
              <w:t>Procurement data may add more detail to this deflator.</w:t>
            </w:r>
          </w:p>
        </w:tc>
      </w:tr>
      <w:tr w:rsidR="0092721F" w:rsidRPr="00BD6196" w14:paraId="100E34D0"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2E8A7098" w14:textId="5D18E313" w:rsidR="0092721F" w:rsidRPr="00BD6196" w:rsidRDefault="0092721F" w:rsidP="00BD6196">
            <w:pPr>
              <w:spacing w:after="0" w:line="276" w:lineRule="auto"/>
              <w:jc w:val="center"/>
              <w:rPr>
                <w:rFonts w:ascii="Arial" w:eastAsia="Times New Roman" w:hAnsi="Arial" w:cs="Arial"/>
                <w:b/>
                <w:color w:val="000000"/>
                <w:lang w:eastAsia="en-GB"/>
              </w:rPr>
            </w:pPr>
            <w:r w:rsidRPr="00BD6196">
              <w:rPr>
                <w:rFonts w:ascii="Arial" w:eastAsia="Times New Roman" w:hAnsi="Arial" w:cs="Arial"/>
                <w:b/>
                <w:color w:val="000000"/>
                <w:lang w:eastAsia="en-GB"/>
              </w:rPr>
              <w:t>Premises</w:t>
            </w:r>
          </w:p>
        </w:tc>
      </w:tr>
      <w:tr w:rsidR="0092721F" w:rsidRPr="00BD6196" w14:paraId="7DC36C72"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CCEE1" w14:textId="77777777"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626953DF" w14:textId="3A3AF58F" w:rsidR="0092721F" w:rsidRPr="00BD6196" w:rsidRDefault="0092721F" w:rsidP="00BD6196">
            <w:pPr>
              <w:spacing w:after="0" w:line="276" w:lineRule="auto"/>
              <w:rPr>
                <w:rFonts w:ascii="Arial" w:eastAsia="Times New Roman" w:hAnsi="Arial" w:cs="Arial"/>
                <w:color w:val="000000"/>
                <w:lang w:eastAsia="en-GB"/>
              </w:rPr>
            </w:pPr>
            <w:r w:rsidRPr="00BD6196">
              <w:rPr>
                <w:rFonts w:ascii="Arial" w:eastAsia="Times New Roman" w:hAnsi="Arial" w:cs="Arial"/>
                <w:color w:val="000000"/>
                <w:lang w:eastAsia="en-GB"/>
              </w:rPr>
              <w:t>~4%</w:t>
            </w:r>
          </w:p>
        </w:tc>
      </w:tr>
      <w:tr w:rsidR="0092721F" w:rsidRPr="00BD6196" w14:paraId="2E56E839"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245AD5" w14:textId="77777777"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1DA5741B" w14:textId="15FAC8B0" w:rsidR="0092721F" w:rsidRPr="00BD6196" w:rsidRDefault="0092721F" w:rsidP="00BD6196">
            <w:pPr>
              <w:spacing w:after="0" w:line="276" w:lineRule="auto"/>
              <w:rPr>
                <w:rFonts w:ascii="Arial" w:hAnsi="Arial" w:cs="Arial"/>
              </w:rPr>
            </w:pPr>
            <w:r w:rsidRPr="00BD6196">
              <w:rPr>
                <w:rFonts w:ascii="Arial" w:hAnsi="Arial" w:cs="Arial"/>
              </w:rPr>
              <w:t xml:space="preserve">spend on building, other than rent, incurred in relation to buildings. Examples include: building repairs and maintenance, utilities, facilities management and catering. </w:t>
            </w:r>
          </w:p>
          <w:p w14:paraId="06BD7C51" w14:textId="6EC8850F" w:rsidR="00045915" w:rsidRPr="00BD6196" w:rsidRDefault="00045915" w:rsidP="00BD6196">
            <w:pPr>
              <w:spacing w:after="0" w:line="276" w:lineRule="auto"/>
              <w:rPr>
                <w:rFonts w:ascii="Arial" w:hAnsi="Arial" w:cs="Arial"/>
              </w:rPr>
            </w:pPr>
          </w:p>
        </w:tc>
      </w:tr>
      <w:tr w:rsidR="0092721F" w:rsidRPr="00BD6196" w14:paraId="61B36082"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7A068" w14:textId="6449569A" w:rsidR="0092721F" w:rsidRPr="00BD6196" w:rsidRDefault="00BE69FB"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1A3704F0" w14:textId="0A2FC571" w:rsidR="0092721F" w:rsidRPr="00BD6196" w:rsidRDefault="00E47499" w:rsidP="00BD6196">
            <w:pPr>
              <w:spacing w:after="0" w:line="276" w:lineRule="auto"/>
              <w:rPr>
                <w:rFonts w:ascii="Arial" w:eastAsia="Times New Roman" w:hAnsi="Arial" w:cs="Arial"/>
                <w:color w:val="000000"/>
                <w:lang w:eastAsia="en-GB"/>
              </w:rPr>
            </w:pPr>
            <w:hyperlink r:id="rId22" w:history="1">
              <w:r w:rsidR="0092721F" w:rsidRPr="00BD6196">
                <w:rPr>
                  <w:rStyle w:val="Hyperlink"/>
                  <w:rFonts w:ascii="Arial" w:eastAsia="Times New Roman" w:hAnsi="Arial" w:cs="Arial"/>
                  <w:lang w:eastAsia="en-GB"/>
                </w:rPr>
                <w:t>SPPI 5620000000 Canteens and Catering</w:t>
              </w:r>
            </w:hyperlink>
            <w:r w:rsidR="0092721F" w:rsidRPr="00BD6196">
              <w:rPr>
                <w:rFonts w:ascii="Arial" w:eastAsia="Times New Roman" w:hAnsi="Arial" w:cs="Arial"/>
                <w:color w:val="000000"/>
                <w:lang w:eastAsia="en-GB"/>
              </w:rPr>
              <w:t xml:space="preserve"> (15%); </w:t>
            </w:r>
          </w:p>
          <w:p w14:paraId="64E86969" w14:textId="581C25C9" w:rsidR="0092721F" w:rsidRPr="00BD6196" w:rsidRDefault="00E47499" w:rsidP="00BD6196">
            <w:pPr>
              <w:spacing w:after="0" w:line="276" w:lineRule="auto"/>
              <w:rPr>
                <w:rFonts w:ascii="Arial" w:eastAsia="Times New Roman" w:hAnsi="Arial" w:cs="Arial"/>
                <w:color w:val="000000"/>
                <w:lang w:eastAsia="en-GB"/>
              </w:rPr>
            </w:pPr>
            <w:hyperlink r:id="rId23" w:history="1">
              <w:r w:rsidR="0092721F" w:rsidRPr="00BD6196">
                <w:rPr>
                  <w:rStyle w:val="Hyperlink"/>
                  <w:rFonts w:ascii="Arial" w:eastAsia="Times New Roman" w:hAnsi="Arial" w:cs="Arial"/>
                  <w:lang w:eastAsia="en-GB"/>
                </w:rPr>
                <w:t>CPI 4.5 Electricity gas and other fuels</w:t>
              </w:r>
            </w:hyperlink>
            <w:r w:rsidR="0092721F" w:rsidRPr="00BD6196">
              <w:rPr>
                <w:rFonts w:ascii="Arial" w:eastAsia="Times New Roman" w:hAnsi="Arial" w:cs="Arial"/>
                <w:color w:val="000000"/>
                <w:lang w:eastAsia="en-GB"/>
              </w:rPr>
              <w:t xml:space="preserve"> (30%); </w:t>
            </w:r>
          </w:p>
          <w:p w14:paraId="5B95117E" w14:textId="002617DB" w:rsidR="0092721F" w:rsidRPr="00BD6196" w:rsidRDefault="00E47499" w:rsidP="00BD6196">
            <w:pPr>
              <w:spacing w:after="0" w:line="276" w:lineRule="auto"/>
              <w:rPr>
                <w:rFonts w:ascii="Arial" w:eastAsia="Times New Roman" w:hAnsi="Arial" w:cs="Arial"/>
                <w:color w:val="000000"/>
                <w:lang w:eastAsia="en-GB"/>
              </w:rPr>
            </w:pPr>
            <w:hyperlink r:id="rId24" w:history="1">
              <w:r w:rsidR="0092721F" w:rsidRPr="00BD6196">
                <w:rPr>
                  <w:rStyle w:val="Hyperlink"/>
                  <w:rFonts w:ascii="Arial" w:eastAsia="Times New Roman" w:hAnsi="Arial" w:cs="Arial"/>
                  <w:lang w:eastAsia="en-GB"/>
                </w:rPr>
                <w:t>CPI 4.4 Water supply</w:t>
              </w:r>
            </w:hyperlink>
            <w:r w:rsidR="0092721F" w:rsidRPr="00BD6196">
              <w:rPr>
                <w:rFonts w:ascii="Arial" w:eastAsia="Times New Roman" w:hAnsi="Arial" w:cs="Arial"/>
                <w:color w:val="000000"/>
                <w:lang w:eastAsia="en-GB"/>
              </w:rPr>
              <w:t xml:space="preserve"> (5%); </w:t>
            </w:r>
          </w:p>
          <w:p w14:paraId="40F414A3" w14:textId="677E8EFE" w:rsidR="0092721F" w:rsidRPr="003F31B8" w:rsidRDefault="00E47499" w:rsidP="00BD6196">
            <w:pPr>
              <w:spacing w:after="0" w:line="276" w:lineRule="auto"/>
              <w:rPr>
                <w:rFonts w:ascii="Arial" w:eastAsia="Times New Roman" w:hAnsi="Arial" w:cs="Arial"/>
                <w:color w:val="0563C1" w:themeColor="hyperlink"/>
                <w:u w:val="single"/>
                <w:lang w:eastAsia="en-GB"/>
              </w:rPr>
            </w:pPr>
            <w:hyperlink r:id="rId25" w:history="1">
              <w:r w:rsidR="00FC37A9">
                <w:rPr>
                  <w:rStyle w:val="Hyperlink"/>
                  <w:rFonts w:ascii="Arial" w:eastAsia="Times New Roman" w:hAnsi="Arial" w:cs="Arial"/>
                  <w:lang w:eastAsia="en-GB"/>
                </w:rPr>
                <w:t>C</w:t>
              </w:r>
              <w:r w:rsidR="0092721F" w:rsidRPr="00BD6196">
                <w:rPr>
                  <w:rStyle w:val="Hyperlink"/>
                  <w:rFonts w:ascii="Arial" w:eastAsia="Times New Roman" w:hAnsi="Arial" w:cs="Arial"/>
                  <w:lang w:eastAsia="en-GB"/>
                </w:rPr>
                <w:t>OPI Non-Housing Repair and Maintenance</w:t>
              </w:r>
            </w:hyperlink>
            <w:r w:rsidR="0092721F" w:rsidRPr="00BD6196">
              <w:rPr>
                <w:rFonts w:ascii="Arial" w:eastAsia="Times New Roman" w:hAnsi="Arial" w:cs="Arial"/>
                <w:color w:val="000000"/>
                <w:lang w:eastAsia="en-GB"/>
              </w:rPr>
              <w:t xml:space="preserve"> (50%)</w:t>
            </w:r>
          </w:p>
          <w:p w14:paraId="40719D7B" w14:textId="6AC5CA70" w:rsidR="00045915" w:rsidRPr="00BD6196" w:rsidRDefault="00045915" w:rsidP="00BD6196">
            <w:pPr>
              <w:spacing w:after="0" w:line="276" w:lineRule="auto"/>
              <w:rPr>
                <w:rFonts w:ascii="Arial" w:eastAsia="Times New Roman" w:hAnsi="Arial" w:cs="Arial"/>
                <w:color w:val="000000"/>
                <w:lang w:eastAsia="en-GB"/>
              </w:rPr>
            </w:pPr>
          </w:p>
        </w:tc>
      </w:tr>
      <w:tr w:rsidR="0092721F" w:rsidRPr="00BD6196" w14:paraId="636F2BC5"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8A397D" w14:textId="21A4A85D"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 xml:space="preserve"> 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06CC3739" w14:textId="3E44D9A9" w:rsidR="0092721F" w:rsidRPr="00BD6196" w:rsidRDefault="0092721F" w:rsidP="00BD6196">
            <w:pPr>
              <w:spacing w:after="0" w:line="276" w:lineRule="auto"/>
              <w:rPr>
                <w:rFonts w:ascii="Arial" w:hAnsi="Arial" w:cs="Arial"/>
              </w:rPr>
            </w:pPr>
            <w:r w:rsidRPr="00BD6196">
              <w:rPr>
                <w:rFonts w:ascii="Arial" w:hAnsi="Arial" w:cs="Arial"/>
              </w:rPr>
              <w:t xml:space="preserve">The </w:t>
            </w:r>
            <w:r w:rsidR="008D1FF1" w:rsidRPr="00BD6196">
              <w:rPr>
                <w:rFonts w:ascii="Arial" w:hAnsi="Arial" w:cs="Arial"/>
              </w:rPr>
              <w:t>proportions split</w:t>
            </w:r>
            <w:r w:rsidRPr="00BD6196">
              <w:rPr>
                <w:rFonts w:ascii="Arial" w:hAnsi="Arial" w:cs="Arial"/>
              </w:rPr>
              <w:t xml:space="preserve"> between deflators is an estimate.  </w:t>
            </w:r>
          </w:p>
        </w:tc>
      </w:tr>
      <w:tr w:rsidR="0092721F" w:rsidRPr="00BD6196" w14:paraId="3C57E352"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7EB68D4E" w14:textId="14207D7F"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Depreciation</w:t>
            </w:r>
          </w:p>
        </w:tc>
      </w:tr>
      <w:tr w:rsidR="0092721F" w:rsidRPr="00BD6196" w14:paraId="15589A78"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B88F8B"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4D67774D" w14:textId="133D86F5"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~2.5%</w:t>
            </w:r>
          </w:p>
        </w:tc>
      </w:tr>
      <w:tr w:rsidR="0092721F" w:rsidRPr="00BD6196" w14:paraId="6320A9E7"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2AAABD"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666CB772" w14:textId="77777777"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Land (0%), buildings (48%), dwellings (0.5%), information technology (16.5%), payments on accounts and assets </w:t>
            </w:r>
            <w:r w:rsidRPr="00BD6196">
              <w:rPr>
                <w:rFonts w:ascii="Arial" w:hAnsi="Arial" w:cs="Arial"/>
                <w:szCs w:val="24"/>
              </w:rPr>
              <w:lastRenderedPageBreak/>
              <w:t>under construction (0%), furniture and fittings (2%), plant and machinery (30.3%) and transport equipment (2.2%).</w:t>
            </w:r>
          </w:p>
          <w:p w14:paraId="16E4D088" w14:textId="5E43B467" w:rsidR="00BE69FB" w:rsidRPr="00BD6196" w:rsidRDefault="00BE69FB" w:rsidP="00BD6196">
            <w:pPr>
              <w:spacing w:after="0" w:line="276" w:lineRule="auto"/>
              <w:rPr>
                <w:rFonts w:ascii="Arial" w:hAnsi="Arial" w:cs="Arial"/>
                <w:szCs w:val="24"/>
              </w:rPr>
            </w:pPr>
          </w:p>
        </w:tc>
      </w:tr>
      <w:tr w:rsidR="0092721F" w:rsidRPr="00BD6196" w14:paraId="6050FE1B"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2F21C" w14:textId="588F8EA8"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lastRenderedPageBreak/>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6F366602" w14:textId="13E71E6C" w:rsidR="0092721F" w:rsidRPr="00BD6196" w:rsidRDefault="00E47499" w:rsidP="00BD6196">
            <w:pPr>
              <w:spacing w:after="0" w:line="276" w:lineRule="auto"/>
              <w:rPr>
                <w:rFonts w:ascii="Arial" w:eastAsia="Times New Roman" w:hAnsi="Arial" w:cs="Arial"/>
                <w:color w:val="000000"/>
                <w:szCs w:val="24"/>
                <w:lang w:eastAsia="en-GB"/>
              </w:rPr>
            </w:pPr>
            <w:hyperlink r:id="rId26" w:history="1">
              <w:r w:rsidR="00F14C28">
                <w:rPr>
                  <w:rStyle w:val="Hyperlink"/>
                  <w:rFonts w:ascii="Arial" w:eastAsia="Times New Roman" w:hAnsi="Arial" w:cs="Arial"/>
                  <w:szCs w:val="24"/>
                  <w:lang w:eastAsia="en-GB"/>
                </w:rPr>
                <w:t>C</w:t>
              </w:r>
              <w:r w:rsidR="0092721F" w:rsidRPr="00BD6196">
                <w:rPr>
                  <w:rStyle w:val="Hyperlink"/>
                  <w:rFonts w:ascii="Arial" w:eastAsia="Times New Roman" w:hAnsi="Arial" w:cs="Arial"/>
                  <w:szCs w:val="24"/>
                  <w:lang w:eastAsia="en-GB"/>
                </w:rPr>
                <w:t>OPI Public other new work</w:t>
              </w:r>
            </w:hyperlink>
            <w:r w:rsidR="0092721F" w:rsidRPr="00BD6196">
              <w:rPr>
                <w:rFonts w:ascii="Arial" w:eastAsia="Times New Roman" w:hAnsi="Arial" w:cs="Arial"/>
                <w:color w:val="000000"/>
                <w:szCs w:val="24"/>
                <w:lang w:eastAsia="en-GB"/>
              </w:rPr>
              <w:t xml:space="preserve">; </w:t>
            </w:r>
          </w:p>
          <w:p w14:paraId="7E036630" w14:textId="6BF56A1B" w:rsidR="0092721F" w:rsidRPr="00BD6196" w:rsidRDefault="00045915" w:rsidP="00BD6196">
            <w:pPr>
              <w:spacing w:after="0" w:line="276" w:lineRule="auto"/>
              <w:rPr>
                <w:rStyle w:val="Hyperlink"/>
                <w:rFonts w:ascii="Arial" w:eastAsia="Times New Roman" w:hAnsi="Arial" w:cs="Arial"/>
                <w:szCs w:val="24"/>
                <w:lang w:eastAsia="en-GB"/>
              </w:rPr>
            </w:pPr>
            <w:r w:rsidRPr="00BD6196">
              <w:rPr>
                <w:rFonts w:ascii="Arial" w:eastAsia="Times New Roman" w:hAnsi="Arial" w:cs="Arial"/>
                <w:color w:val="000000"/>
                <w:szCs w:val="24"/>
                <w:lang w:eastAsia="en-GB"/>
              </w:rPr>
              <w:fldChar w:fldCharType="begin"/>
            </w:r>
            <w:r w:rsidRPr="00BD6196">
              <w:rPr>
                <w:rFonts w:ascii="Arial" w:eastAsia="Times New Roman" w:hAnsi="Arial" w:cs="Arial"/>
                <w:color w:val="000000"/>
                <w:szCs w:val="24"/>
                <w:lang w:eastAsia="en-GB"/>
              </w:rPr>
              <w:instrText xml:space="preserve"> HYPERLINK "https://www.ons.gov.uk/economy/inflationandpriceindices/datasets/producerpriceindex" </w:instrText>
            </w:r>
            <w:r w:rsidRPr="00BD6196">
              <w:rPr>
                <w:rFonts w:ascii="Arial" w:eastAsia="Times New Roman" w:hAnsi="Arial" w:cs="Arial"/>
                <w:color w:val="000000"/>
                <w:szCs w:val="24"/>
                <w:lang w:eastAsia="en-GB"/>
              </w:rPr>
              <w:fldChar w:fldCharType="separate"/>
            </w:r>
            <w:r w:rsidR="0092721F" w:rsidRPr="00BD6196">
              <w:rPr>
                <w:rStyle w:val="Hyperlink"/>
                <w:rFonts w:ascii="Arial" w:eastAsia="Times New Roman" w:hAnsi="Arial" w:cs="Arial"/>
                <w:szCs w:val="24"/>
                <w:lang w:eastAsia="en-GB"/>
              </w:rPr>
              <w:t xml:space="preserve">PPI 2620000000 Computers &amp; Peripheral Equipment; </w:t>
            </w:r>
          </w:p>
          <w:p w14:paraId="0183F710" w14:textId="77777777" w:rsidR="0092721F" w:rsidRPr="00BD6196" w:rsidRDefault="0092721F" w:rsidP="00BD6196">
            <w:pPr>
              <w:spacing w:after="0" w:line="276" w:lineRule="auto"/>
              <w:rPr>
                <w:rStyle w:val="Hyperlink"/>
                <w:rFonts w:ascii="Arial" w:eastAsia="Times New Roman" w:hAnsi="Arial" w:cs="Arial"/>
                <w:szCs w:val="24"/>
                <w:lang w:eastAsia="en-GB"/>
              </w:rPr>
            </w:pPr>
            <w:r w:rsidRPr="00BD6196">
              <w:rPr>
                <w:rStyle w:val="Hyperlink"/>
                <w:rFonts w:ascii="Arial" w:eastAsia="Times New Roman" w:hAnsi="Arial" w:cs="Arial"/>
                <w:szCs w:val="24"/>
                <w:lang w:eastAsia="en-GB"/>
              </w:rPr>
              <w:t>PPI 3101000000 Office &amp; Shop Furniture;</w:t>
            </w:r>
          </w:p>
          <w:p w14:paraId="26E4BBC2" w14:textId="14788A1A" w:rsidR="0092721F" w:rsidRPr="00BD6196" w:rsidRDefault="0092721F" w:rsidP="00BD6196">
            <w:pPr>
              <w:spacing w:after="0" w:line="276" w:lineRule="auto"/>
              <w:rPr>
                <w:rStyle w:val="Hyperlink"/>
                <w:rFonts w:ascii="Arial" w:eastAsia="Times New Roman" w:hAnsi="Arial" w:cs="Arial"/>
                <w:szCs w:val="24"/>
                <w:lang w:eastAsia="en-GB"/>
              </w:rPr>
            </w:pPr>
            <w:r w:rsidRPr="00BD6196">
              <w:rPr>
                <w:rStyle w:val="Hyperlink"/>
                <w:rFonts w:ascii="Arial" w:eastAsia="Times New Roman" w:hAnsi="Arial" w:cs="Arial"/>
                <w:szCs w:val="24"/>
                <w:lang w:eastAsia="en-GB"/>
              </w:rPr>
              <w:t xml:space="preserve">PPI 2660000000 Irradiation, Electromedical &amp; Electrotherapeutic Equipment; </w:t>
            </w:r>
          </w:p>
          <w:p w14:paraId="7AB71F96" w14:textId="77777777" w:rsidR="0092721F" w:rsidRPr="00BD6196" w:rsidRDefault="0092721F" w:rsidP="00BD6196">
            <w:pPr>
              <w:spacing w:after="0" w:line="276" w:lineRule="auto"/>
              <w:rPr>
                <w:rFonts w:ascii="Arial" w:eastAsia="Times New Roman" w:hAnsi="Arial" w:cs="Arial"/>
                <w:color w:val="000000"/>
                <w:szCs w:val="24"/>
                <w:lang w:eastAsia="en-GB"/>
              </w:rPr>
            </w:pPr>
            <w:r w:rsidRPr="00BD6196">
              <w:rPr>
                <w:rStyle w:val="Hyperlink"/>
                <w:rFonts w:ascii="Arial" w:eastAsia="Times New Roman" w:hAnsi="Arial" w:cs="Arial"/>
                <w:szCs w:val="24"/>
                <w:lang w:eastAsia="en-GB"/>
              </w:rPr>
              <w:t>PPI 2910000000 Motor Vehicles</w:t>
            </w:r>
            <w:r w:rsidR="00045915" w:rsidRPr="00BD6196">
              <w:rPr>
                <w:rFonts w:ascii="Arial" w:eastAsia="Times New Roman" w:hAnsi="Arial" w:cs="Arial"/>
                <w:color w:val="000000"/>
                <w:szCs w:val="24"/>
                <w:lang w:eastAsia="en-GB"/>
              </w:rPr>
              <w:fldChar w:fldCharType="end"/>
            </w:r>
          </w:p>
          <w:p w14:paraId="12AF0B4B" w14:textId="0A7662C0" w:rsidR="00BE69FB" w:rsidRPr="00BD6196" w:rsidRDefault="00BE69FB" w:rsidP="00BD6196">
            <w:pPr>
              <w:spacing w:after="0" w:line="276" w:lineRule="auto"/>
              <w:rPr>
                <w:rFonts w:ascii="Arial" w:eastAsia="Times New Roman" w:hAnsi="Arial" w:cs="Arial"/>
                <w:color w:val="000000"/>
                <w:szCs w:val="24"/>
                <w:lang w:eastAsia="en-GB"/>
              </w:rPr>
            </w:pPr>
          </w:p>
        </w:tc>
      </w:tr>
      <w:tr w:rsidR="0092721F" w:rsidRPr="00BD6196" w14:paraId="103AF2CE"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4FE49BD4" w14:textId="3253A59F" w:rsidR="0092721F" w:rsidRPr="00BD6196" w:rsidRDefault="0092721F" w:rsidP="00BD6196">
            <w:pPr>
              <w:spacing w:after="0" w:line="276" w:lineRule="auto"/>
              <w:jc w:val="center"/>
              <w:rPr>
                <w:rFonts w:ascii="Arial" w:eastAsia="Times New Roman" w:hAnsi="Arial" w:cs="Arial"/>
                <w:b/>
                <w:color w:val="000000"/>
                <w:lang w:eastAsia="en-GB"/>
              </w:rPr>
            </w:pPr>
            <w:r w:rsidRPr="00BD6196">
              <w:rPr>
                <w:rFonts w:ascii="Arial" w:eastAsia="Times New Roman" w:hAnsi="Arial" w:cs="Arial"/>
                <w:b/>
                <w:color w:val="000000"/>
                <w:lang w:eastAsia="en-GB"/>
              </w:rPr>
              <w:t>Supplies and services general</w:t>
            </w:r>
          </w:p>
        </w:tc>
      </w:tr>
      <w:tr w:rsidR="0092721F" w:rsidRPr="00BD6196" w14:paraId="5A54A642"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8173B2" w14:textId="77777777"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4140499B" w14:textId="4CDAB8C6" w:rsidR="0092721F" w:rsidRPr="00BD6196" w:rsidRDefault="0092721F" w:rsidP="00BD6196">
            <w:pPr>
              <w:spacing w:after="0" w:line="276" w:lineRule="auto"/>
              <w:rPr>
                <w:rFonts w:ascii="Arial" w:eastAsia="Times New Roman" w:hAnsi="Arial" w:cs="Arial"/>
                <w:color w:val="000000"/>
                <w:lang w:eastAsia="en-GB"/>
              </w:rPr>
            </w:pPr>
            <w:r w:rsidRPr="00BD6196">
              <w:rPr>
                <w:rFonts w:ascii="Arial" w:eastAsia="Times New Roman" w:hAnsi="Arial" w:cs="Arial"/>
                <w:color w:val="000000"/>
                <w:lang w:eastAsia="en-GB"/>
              </w:rPr>
              <w:t>~1.7%</w:t>
            </w:r>
          </w:p>
        </w:tc>
      </w:tr>
      <w:tr w:rsidR="0092721F" w:rsidRPr="00BD6196" w14:paraId="74F6BCD3"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7B21D7" w14:textId="77777777"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1ACE3C94" w14:textId="7EBD9BC0" w:rsidR="0092721F" w:rsidRPr="00BD6196" w:rsidRDefault="0092721F" w:rsidP="00BD6196">
            <w:pPr>
              <w:spacing w:line="276" w:lineRule="auto"/>
              <w:rPr>
                <w:rFonts w:ascii="Arial" w:hAnsi="Arial" w:cs="Arial"/>
              </w:rPr>
            </w:pPr>
            <w:r w:rsidRPr="00BD6196">
              <w:rPr>
                <w:rFonts w:ascii="Arial" w:hAnsi="Arial" w:cs="Arial"/>
              </w:rPr>
              <w:t>spend on items for cleaning/washing contracts, as well as a range of textile related products.</w:t>
            </w:r>
          </w:p>
        </w:tc>
      </w:tr>
      <w:tr w:rsidR="0092721F" w:rsidRPr="00BD6196" w14:paraId="3677F7BB"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DA4C" w14:textId="14325FE4" w:rsidR="0092721F" w:rsidRPr="00BD6196" w:rsidRDefault="00BE69FB"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6E040F6C" w14:textId="6F6DE505" w:rsidR="0092721F" w:rsidRPr="00BD6196" w:rsidRDefault="00E47499" w:rsidP="00BD6196">
            <w:pPr>
              <w:spacing w:after="0" w:line="276" w:lineRule="auto"/>
              <w:rPr>
                <w:rFonts w:ascii="Arial" w:eastAsia="Times New Roman" w:hAnsi="Arial" w:cs="Arial"/>
                <w:color w:val="000000"/>
                <w:lang w:eastAsia="en-GB"/>
              </w:rPr>
            </w:pPr>
            <w:hyperlink r:id="rId27" w:history="1">
              <w:r w:rsidR="0092721F" w:rsidRPr="00BD6196">
                <w:rPr>
                  <w:rStyle w:val="Hyperlink"/>
                  <w:rFonts w:ascii="Arial" w:eastAsia="Times New Roman" w:hAnsi="Arial" w:cs="Arial"/>
                  <w:lang w:eastAsia="en-GB"/>
                </w:rPr>
                <w:t>SPPI 9601000000 Commercial washing and dry cleaning</w:t>
              </w:r>
            </w:hyperlink>
            <w:r w:rsidR="0092721F" w:rsidRPr="00BD6196">
              <w:rPr>
                <w:rFonts w:ascii="Arial" w:eastAsia="Times New Roman" w:hAnsi="Arial" w:cs="Arial"/>
                <w:color w:val="000000"/>
                <w:lang w:eastAsia="en-GB"/>
              </w:rPr>
              <w:t xml:space="preserve"> (75%);</w:t>
            </w:r>
          </w:p>
          <w:p w14:paraId="59E161F6" w14:textId="73B5A85F" w:rsidR="003C3AE8" w:rsidRPr="00BD6196" w:rsidRDefault="00E47499" w:rsidP="00451BC7">
            <w:pPr>
              <w:spacing w:after="0" w:line="276" w:lineRule="auto"/>
              <w:rPr>
                <w:rFonts w:ascii="Arial" w:eastAsia="Times New Roman" w:hAnsi="Arial" w:cs="Arial"/>
                <w:color w:val="000000"/>
                <w:lang w:eastAsia="en-GB"/>
              </w:rPr>
            </w:pPr>
            <w:hyperlink r:id="rId28" w:history="1">
              <w:r w:rsidR="0092721F" w:rsidRPr="00BD6196">
                <w:rPr>
                  <w:rStyle w:val="Hyperlink"/>
                  <w:rFonts w:ascii="Arial" w:eastAsia="Times New Roman" w:hAnsi="Arial" w:cs="Arial"/>
                  <w:lang w:eastAsia="en-GB"/>
                </w:rPr>
                <w:t>PPI 7111131400 Textiles &amp; Textile products</w:t>
              </w:r>
            </w:hyperlink>
            <w:r w:rsidR="0092721F" w:rsidRPr="00BD6196">
              <w:rPr>
                <w:rFonts w:ascii="Arial" w:eastAsia="Times New Roman" w:hAnsi="Arial" w:cs="Arial"/>
                <w:color w:val="000000"/>
                <w:lang w:eastAsia="en-GB"/>
              </w:rPr>
              <w:t xml:space="preserve"> (25%)</w:t>
            </w:r>
          </w:p>
        </w:tc>
      </w:tr>
      <w:tr w:rsidR="0092721F" w:rsidRPr="00BD6196" w14:paraId="7C002229"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6780D9" w14:textId="77777777" w:rsidR="0092721F" w:rsidRPr="00BD6196" w:rsidRDefault="0092721F" w:rsidP="00BD6196">
            <w:pPr>
              <w:spacing w:after="0"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24C6DC5A" w14:textId="7354B39D" w:rsidR="0092721F" w:rsidRPr="00BD6196" w:rsidRDefault="0092721F" w:rsidP="00BD6196">
            <w:pPr>
              <w:spacing w:after="0" w:line="276" w:lineRule="auto"/>
              <w:rPr>
                <w:rFonts w:ascii="Arial" w:hAnsi="Arial" w:cs="Arial"/>
              </w:rPr>
            </w:pPr>
            <w:r w:rsidRPr="00BD6196">
              <w:rPr>
                <w:rFonts w:ascii="Arial" w:hAnsi="Arial" w:cs="Arial"/>
              </w:rPr>
              <w:t xml:space="preserve">The split between deflators is an estimate.  </w:t>
            </w:r>
          </w:p>
        </w:tc>
      </w:tr>
      <w:tr w:rsidR="0092721F" w:rsidRPr="00BD6196" w14:paraId="190AE8BF"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37A6E779" w14:textId="02DEEA03"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Establishment</w:t>
            </w:r>
          </w:p>
        </w:tc>
      </w:tr>
      <w:tr w:rsidR="0092721F" w:rsidRPr="00BD6196" w14:paraId="779742DA"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8FAE6B"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6D232033" w14:textId="1FE833D6"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~1.1%</w:t>
            </w:r>
          </w:p>
        </w:tc>
      </w:tr>
      <w:tr w:rsidR="0092721F" w:rsidRPr="00BD6196" w14:paraId="4E1089D6"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ECAEFE"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1301FB40" w14:textId="63F934F6" w:rsidR="0092721F" w:rsidRPr="00BD6196" w:rsidRDefault="0092721F" w:rsidP="00BD6196">
            <w:pPr>
              <w:spacing w:line="276" w:lineRule="auto"/>
              <w:rPr>
                <w:rFonts w:ascii="Arial" w:hAnsi="Arial" w:cs="Arial"/>
                <w:szCs w:val="24"/>
              </w:rPr>
            </w:pPr>
            <w:r w:rsidRPr="00BD6196">
              <w:rPr>
                <w:rFonts w:ascii="Arial" w:hAnsi="Arial" w:cs="Arial"/>
                <w:szCs w:val="24"/>
              </w:rPr>
              <w:t>spend on general expenses such as telephone costs, stationery, printing and staff expenses.</w:t>
            </w:r>
          </w:p>
        </w:tc>
      </w:tr>
      <w:tr w:rsidR="0092721F" w:rsidRPr="00BD6196" w14:paraId="2C3835FB"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B5F0" w14:textId="60B0D1BE"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3DF9A24A" w14:textId="474EF63D" w:rsidR="0092721F" w:rsidRPr="00BD6196" w:rsidRDefault="00E47499" w:rsidP="00BD6196">
            <w:pPr>
              <w:spacing w:after="0" w:line="276" w:lineRule="auto"/>
              <w:rPr>
                <w:rFonts w:ascii="Arial" w:eastAsia="Times New Roman" w:hAnsi="Arial" w:cs="Arial"/>
                <w:color w:val="000000"/>
                <w:szCs w:val="24"/>
                <w:lang w:eastAsia="en-GB"/>
              </w:rPr>
            </w:pPr>
            <w:hyperlink r:id="rId29" w:history="1">
              <w:r w:rsidR="0092721F" w:rsidRPr="00BD6196">
                <w:rPr>
                  <w:rStyle w:val="Hyperlink"/>
                  <w:rFonts w:ascii="Arial" w:eastAsia="Times New Roman" w:hAnsi="Arial" w:cs="Arial"/>
                  <w:szCs w:val="24"/>
                  <w:lang w:eastAsia="en-GB"/>
                </w:rPr>
                <w:t>PPI 1723000000 Paper Stationery</w:t>
              </w:r>
            </w:hyperlink>
            <w:r w:rsidR="0092721F" w:rsidRPr="00BD6196">
              <w:rPr>
                <w:rFonts w:ascii="Arial" w:eastAsia="Times New Roman" w:hAnsi="Arial" w:cs="Arial"/>
                <w:color w:val="000000"/>
                <w:szCs w:val="24"/>
                <w:lang w:eastAsia="en-GB"/>
              </w:rPr>
              <w:t xml:space="preserve"> (25%); </w:t>
            </w:r>
          </w:p>
          <w:p w14:paraId="5154AC90" w14:textId="5403A160" w:rsidR="0092721F" w:rsidRPr="00BD6196" w:rsidRDefault="00E47499" w:rsidP="00BD6196">
            <w:pPr>
              <w:spacing w:after="0" w:line="276" w:lineRule="auto"/>
              <w:rPr>
                <w:rFonts w:ascii="Arial" w:eastAsia="Times New Roman" w:hAnsi="Arial" w:cs="Arial"/>
                <w:color w:val="000000"/>
                <w:szCs w:val="24"/>
                <w:lang w:eastAsia="en-GB"/>
              </w:rPr>
            </w:pPr>
            <w:hyperlink r:id="rId30" w:history="1">
              <w:r w:rsidR="0092721F" w:rsidRPr="00BD6196">
                <w:rPr>
                  <w:rStyle w:val="Hyperlink"/>
                  <w:rFonts w:ascii="Arial" w:eastAsia="Times New Roman" w:hAnsi="Arial" w:cs="Arial"/>
                  <w:szCs w:val="24"/>
                  <w:lang w:eastAsia="en-GB"/>
                </w:rPr>
                <w:t>SPPI 6110000000 Business Telecoms</w:t>
              </w:r>
            </w:hyperlink>
            <w:r w:rsidR="0092721F" w:rsidRPr="00BD6196">
              <w:rPr>
                <w:rFonts w:ascii="Arial" w:eastAsia="Times New Roman" w:hAnsi="Arial" w:cs="Arial"/>
                <w:color w:val="000000"/>
                <w:szCs w:val="24"/>
                <w:lang w:eastAsia="en-GB"/>
              </w:rPr>
              <w:t xml:space="preserve"> (25%); </w:t>
            </w:r>
          </w:p>
          <w:p w14:paraId="62B26E4D" w14:textId="5EA809CC" w:rsidR="0092721F" w:rsidRPr="00BD6196" w:rsidRDefault="00E47499" w:rsidP="00BD6196">
            <w:pPr>
              <w:spacing w:after="0" w:line="276" w:lineRule="auto"/>
              <w:rPr>
                <w:rFonts w:ascii="Arial" w:eastAsia="Times New Roman" w:hAnsi="Arial" w:cs="Arial"/>
                <w:color w:val="000000"/>
                <w:szCs w:val="24"/>
                <w:lang w:eastAsia="en-GB"/>
              </w:rPr>
            </w:pPr>
            <w:hyperlink r:id="rId31" w:history="1">
              <w:r w:rsidR="0092721F" w:rsidRPr="00BD6196">
                <w:rPr>
                  <w:rStyle w:val="Hyperlink"/>
                  <w:rFonts w:ascii="Arial" w:eastAsia="Times New Roman" w:hAnsi="Arial" w:cs="Arial"/>
                  <w:szCs w:val="24"/>
                  <w:lang w:eastAsia="en-GB"/>
                </w:rPr>
                <w:t>SPPI 4911000000 Business Rail Fares</w:t>
              </w:r>
            </w:hyperlink>
            <w:r w:rsidR="0092721F" w:rsidRPr="00BD6196">
              <w:rPr>
                <w:rFonts w:ascii="Arial" w:eastAsia="Times New Roman" w:hAnsi="Arial" w:cs="Arial"/>
                <w:color w:val="000000"/>
                <w:szCs w:val="24"/>
                <w:lang w:eastAsia="en-GB"/>
              </w:rPr>
              <w:t xml:space="preserve"> (40%); </w:t>
            </w:r>
          </w:p>
          <w:p w14:paraId="0BBFB032" w14:textId="77777777" w:rsidR="0092721F" w:rsidRPr="00BD6196" w:rsidRDefault="00E47499" w:rsidP="00BD6196">
            <w:pPr>
              <w:spacing w:after="0" w:line="276" w:lineRule="auto"/>
              <w:rPr>
                <w:rFonts w:ascii="Arial" w:eastAsia="Times New Roman" w:hAnsi="Arial" w:cs="Arial"/>
                <w:color w:val="000000"/>
                <w:szCs w:val="24"/>
                <w:lang w:eastAsia="en-GB"/>
              </w:rPr>
            </w:pPr>
            <w:hyperlink r:id="rId32" w:history="1">
              <w:r w:rsidR="0092721F" w:rsidRPr="00BD6196">
                <w:rPr>
                  <w:rStyle w:val="Hyperlink"/>
                  <w:rFonts w:ascii="Arial" w:eastAsia="Times New Roman" w:hAnsi="Arial" w:cs="Arial"/>
                  <w:szCs w:val="24"/>
                  <w:lang w:eastAsia="en-GB"/>
                </w:rPr>
                <w:t>SPPI 5310000000 National post/parcel force</w:t>
              </w:r>
            </w:hyperlink>
            <w:r w:rsidR="0092721F" w:rsidRPr="00BD6196">
              <w:rPr>
                <w:rFonts w:ascii="Arial" w:eastAsia="Times New Roman" w:hAnsi="Arial" w:cs="Arial"/>
                <w:color w:val="000000"/>
                <w:szCs w:val="24"/>
                <w:lang w:eastAsia="en-GB"/>
              </w:rPr>
              <w:t xml:space="preserve"> (10%).</w:t>
            </w:r>
          </w:p>
          <w:p w14:paraId="5D449C97" w14:textId="47150077" w:rsidR="003C3AE8" w:rsidRPr="00BD6196" w:rsidRDefault="003C3AE8" w:rsidP="00BD6196">
            <w:pPr>
              <w:spacing w:after="0" w:line="276" w:lineRule="auto"/>
              <w:rPr>
                <w:rFonts w:ascii="Arial" w:eastAsia="Times New Roman" w:hAnsi="Arial" w:cs="Arial"/>
                <w:color w:val="000000"/>
                <w:szCs w:val="24"/>
                <w:lang w:eastAsia="en-GB"/>
              </w:rPr>
            </w:pPr>
          </w:p>
        </w:tc>
      </w:tr>
      <w:tr w:rsidR="0092721F" w:rsidRPr="00BD6196" w14:paraId="6F06F670"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7BB1F5"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0223805F" w14:textId="77777777"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Paper stationary deflator is only available from 2017 (this has been adjusted for before this date). </w:t>
            </w:r>
          </w:p>
          <w:p w14:paraId="3B66BA54" w14:textId="53D73545" w:rsidR="003C3AE8" w:rsidRPr="00BD6196" w:rsidRDefault="003C3AE8" w:rsidP="00BD6196">
            <w:pPr>
              <w:spacing w:after="0" w:line="276" w:lineRule="auto"/>
              <w:rPr>
                <w:rFonts w:ascii="Arial" w:hAnsi="Arial" w:cs="Arial"/>
                <w:szCs w:val="24"/>
              </w:rPr>
            </w:pPr>
          </w:p>
        </w:tc>
      </w:tr>
      <w:tr w:rsidR="0092721F" w:rsidRPr="00BD6196" w14:paraId="77101062"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3B34E3B3" w14:textId="6CEA87D0"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Consultancy costs, Audit costs, Legal fees, Research and development</w:t>
            </w:r>
          </w:p>
        </w:tc>
      </w:tr>
      <w:tr w:rsidR="0092721F" w:rsidRPr="00BD6196" w14:paraId="6401A9F5"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516EF2"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551A10C1" w14:textId="47E337A2"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~1.1% (cumulative)</w:t>
            </w:r>
          </w:p>
        </w:tc>
      </w:tr>
      <w:tr w:rsidR="0092721F" w:rsidRPr="00BD6196" w14:paraId="000F6F82"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E200C9"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2F44DE43" w14:textId="2755FFAF" w:rsidR="0092721F" w:rsidRPr="00BD6196" w:rsidRDefault="0092721F" w:rsidP="00BD6196">
            <w:pPr>
              <w:spacing w:line="276" w:lineRule="auto"/>
              <w:rPr>
                <w:rFonts w:ascii="Arial" w:hAnsi="Arial" w:cs="Arial"/>
                <w:szCs w:val="24"/>
              </w:rPr>
            </w:pPr>
            <w:r w:rsidRPr="00BD6196">
              <w:rPr>
                <w:rFonts w:ascii="Arial" w:hAnsi="Arial" w:cs="Arial"/>
                <w:szCs w:val="24"/>
              </w:rPr>
              <w:t xml:space="preserve">activities in industries under section M: </w:t>
            </w:r>
            <w:r w:rsidR="003C3AE8" w:rsidRPr="00BD6196">
              <w:rPr>
                <w:rFonts w:ascii="Arial" w:hAnsi="Arial" w:cs="Arial"/>
                <w:szCs w:val="24"/>
              </w:rPr>
              <w:t>‘</w:t>
            </w:r>
            <w:r w:rsidRPr="00BD6196">
              <w:rPr>
                <w:rFonts w:ascii="Arial" w:hAnsi="Arial" w:cs="Arial"/>
                <w:szCs w:val="24"/>
              </w:rPr>
              <w:t>professional, scientific and technical services</w:t>
            </w:r>
            <w:r w:rsidR="003C3AE8" w:rsidRPr="00BD6196">
              <w:rPr>
                <w:rFonts w:ascii="Arial" w:hAnsi="Arial" w:cs="Arial"/>
                <w:szCs w:val="24"/>
              </w:rPr>
              <w:t>’</w:t>
            </w:r>
            <w:r w:rsidRPr="00BD6196">
              <w:rPr>
                <w:rFonts w:ascii="Arial" w:hAnsi="Arial" w:cs="Arial"/>
                <w:szCs w:val="24"/>
              </w:rPr>
              <w:t xml:space="preserve"> of the ASHE publication.</w:t>
            </w:r>
          </w:p>
        </w:tc>
      </w:tr>
      <w:tr w:rsidR="0092721F" w:rsidRPr="00BD6196" w14:paraId="607E4E9E"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5866C" w14:textId="01BCB919"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62F7B410" w14:textId="77777777" w:rsidR="0092721F" w:rsidRPr="00BD6196" w:rsidRDefault="003C3AE8"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 xml:space="preserve">Average weekly earnings of </w:t>
            </w:r>
            <w:hyperlink r:id="rId33" w:history="1">
              <w:r w:rsidR="0092721F" w:rsidRPr="00BD6196">
                <w:rPr>
                  <w:rStyle w:val="Hyperlink"/>
                  <w:rFonts w:ascii="Arial" w:eastAsia="Times New Roman" w:hAnsi="Arial" w:cs="Arial"/>
                  <w:szCs w:val="24"/>
                  <w:lang w:eastAsia="en-GB"/>
                </w:rPr>
                <w:t>Pay Professional, Scientific &amp; Technical Activities</w:t>
              </w:r>
            </w:hyperlink>
          </w:p>
          <w:p w14:paraId="14A030D6" w14:textId="293EA2C9" w:rsidR="003C3AE8" w:rsidRPr="00BD6196" w:rsidRDefault="003C3AE8" w:rsidP="00BD6196">
            <w:pPr>
              <w:spacing w:after="0" w:line="276" w:lineRule="auto"/>
              <w:rPr>
                <w:rFonts w:ascii="Arial" w:eastAsia="Times New Roman" w:hAnsi="Arial" w:cs="Arial"/>
                <w:color w:val="000000"/>
                <w:szCs w:val="24"/>
                <w:lang w:eastAsia="en-GB"/>
              </w:rPr>
            </w:pPr>
          </w:p>
        </w:tc>
      </w:tr>
      <w:tr w:rsidR="0092721F" w:rsidRPr="00BD6196" w14:paraId="2D6E3A6F" w14:textId="77777777" w:rsidTr="00D1458E">
        <w:trPr>
          <w:trHeight w:val="301"/>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9AEB2C"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68C93A39" w14:textId="08127DDC" w:rsidR="0092721F" w:rsidRPr="00BD6196" w:rsidRDefault="003C3AE8" w:rsidP="00BD6196">
            <w:pPr>
              <w:spacing w:after="0" w:line="276" w:lineRule="auto"/>
              <w:rPr>
                <w:rFonts w:ascii="Arial" w:hAnsi="Arial" w:cs="Arial"/>
                <w:szCs w:val="24"/>
              </w:rPr>
            </w:pPr>
            <w:r w:rsidRPr="00BD6196">
              <w:rPr>
                <w:rFonts w:ascii="Arial" w:hAnsi="Arial" w:cs="Arial"/>
                <w:szCs w:val="24"/>
              </w:rPr>
              <w:t xml:space="preserve">The earnings are under an industry which consist of many other professions and could thus reflect inflation caused by increase in earnings of other professions. </w:t>
            </w:r>
          </w:p>
          <w:p w14:paraId="1A3CE6C8" w14:textId="54AF6BD9" w:rsidR="003C3AE8" w:rsidRPr="00BD6196" w:rsidRDefault="003C3AE8" w:rsidP="00BD6196">
            <w:pPr>
              <w:spacing w:after="0" w:line="276" w:lineRule="auto"/>
              <w:rPr>
                <w:rFonts w:ascii="Arial" w:hAnsi="Arial" w:cs="Arial"/>
                <w:szCs w:val="24"/>
              </w:rPr>
            </w:pPr>
          </w:p>
        </w:tc>
      </w:tr>
      <w:tr w:rsidR="0092721F" w:rsidRPr="00BD6196" w14:paraId="04B7BCAC" w14:textId="77777777" w:rsidTr="00D1458E">
        <w:trPr>
          <w:trHeight w:val="442"/>
          <w:jc w:val="center"/>
        </w:trPr>
        <w:tc>
          <w:tcPr>
            <w:tcW w:w="841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tcPr>
          <w:p w14:paraId="57B98F35" w14:textId="5B64B283" w:rsidR="0092721F" w:rsidRPr="00BD6196" w:rsidRDefault="0092721F" w:rsidP="00BD6196">
            <w:pPr>
              <w:spacing w:after="0" w:line="276" w:lineRule="auto"/>
              <w:jc w:val="center"/>
              <w:rPr>
                <w:rFonts w:ascii="Arial" w:hAnsi="Arial" w:cs="Arial"/>
                <w:szCs w:val="24"/>
              </w:rPr>
            </w:pPr>
            <w:r w:rsidRPr="00BD6196">
              <w:rPr>
                <w:rFonts w:ascii="Arial" w:eastAsia="Times New Roman" w:hAnsi="Arial" w:cs="Arial"/>
                <w:b/>
                <w:color w:val="000000"/>
                <w:szCs w:val="24"/>
                <w:lang w:eastAsia="en-GB"/>
              </w:rPr>
              <w:lastRenderedPageBreak/>
              <w:t>Charges to operating expenditure for on-</w:t>
            </w:r>
            <w:proofErr w:type="spellStart"/>
            <w:r w:rsidRPr="00BD6196">
              <w:rPr>
                <w:rFonts w:ascii="Arial" w:eastAsia="Times New Roman" w:hAnsi="Arial" w:cs="Arial"/>
                <w:b/>
                <w:color w:val="000000"/>
                <w:szCs w:val="24"/>
                <w:lang w:eastAsia="en-GB"/>
              </w:rPr>
              <w:t>SoFP</w:t>
            </w:r>
            <w:proofErr w:type="spellEnd"/>
            <w:r w:rsidRPr="00BD6196">
              <w:rPr>
                <w:rFonts w:ascii="Arial" w:eastAsia="Times New Roman" w:hAnsi="Arial" w:cs="Arial"/>
                <w:b/>
                <w:color w:val="000000"/>
                <w:szCs w:val="24"/>
                <w:lang w:eastAsia="en-GB"/>
              </w:rPr>
              <w:t xml:space="preserve"> and off-</w:t>
            </w:r>
            <w:proofErr w:type="spellStart"/>
            <w:r w:rsidRPr="00BD6196">
              <w:rPr>
                <w:rFonts w:ascii="Arial" w:eastAsia="Times New Roman" w:hAnsi="Arial" w:cs="Arial"/>
                <w:b/>
                <w:color w:val="000000"/>
                <w:szCs w:val="24"/>
                <w:lang w:eastAsia="en-GB"/>
              </w:rPr>
              <w:t>SoFP</w:t>
            </w:r>
            <w:proofErr w:type="spellEnd"/>
          </w:p>
        </w:tc>
      </w:tr>
      <w:tr w:rsidR="0092721F" w:rsidRPr="00BD6196" w14:paraId="03B88992"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8537B5" w14:textId="02A95838"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0BB6ED41" w14:textId="463C41A9" w:rsidR="0092721F" w:rsidRPr="00BD6196" w:rsidRDefault="0092721F" w:rsidP="00BD6196">
            <w:pPr>
              <w:spacing w:after="0" w:line="276" w:lineRule="auto"/>
              <w:rPr>
                <w:rFonts w:ascii="Arial" w:hAnsi="Arial" w:cs="Arial"/>
                <w:szCs w:val="24"/>
              </w:rPr>
            </w:pPr>
            <w:r w:rsidRPr="00BD6196">
              <w:rPr>
                <w:rFonts w:ascii="Arial" w:eastAsia="Times New Roman" w:hAnsi="Arial" w:cs="Arial"/>
                <w:color w:val="000000"/>
                <w:szCs w:val="24"/>
                <w:lang w:eastAsia="en-GB"/>
              </w:rPr>
              <w:t>~1.1% (cumulative)</w:t>
            </w:r>
          </w:p>
        </w:tc>
      </w:tr>
      <w:tr w:rsidR="0092721F" w:rsidRPr="00BD6196" w14:paraId="0C75BBD4"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88B4A1" w14:textId="35AA0D33"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2D7DF4FC" w14:textId="77777777" w:rsidR="0092721F" w:rsidRPr="00BD6196" w:rsidRDefault="0092721F" w:rsidP="00BD6196">
            <w:pPr>
              <w:spacing w:after="0" w:line="276" w:lineRule="auto"/>
              <w:rPr>
                <w:rFonts w:ascii="Arial" w:hAnsi="Arial" w:cs="Arial"/>
                <w:szCs w:val="24"/>
              </w:rPr>
            </w:pPr>
          </w:p>
          <w:p w14:paraId="64481B8F" w14:textId="50F52F7A" w:rsidR="0092721F" w:rsidRPr="00BD6196" w:rsidRDefault="0092721F" w:rsidP="00BD6196">
            <w:pPr>
              <w:spacing w:after="0" w:line="276" w:lineRule="auto"/>
              <w:rPr>
                <w:rFonts w:ascii="Arial" w:hAnsi="Arial" w:cs="Arial"/>
                <w:szCs w:val="24"/>
              </w:rPr>
            </w:pPr>
            <w:r w:rsidRPr="00BD6196">
              <w:rPr>
                <w:rFonts w:ascii="Arial" w:hAnsi="Arial" w:cs="Arial"/>
                <w:szCs w:val="24"/>
              </w:rPr>
              <w:t>On-Statement of Financial Position (</w:t>
            </w:r>
            <w:proofErr w:type="spellStart"/>
            <w:r w:rsidRPr="00BD6196">
              <w:rPr>
                <w:rFonts w:ascii="Arial" w:hAnsi="Arial" w:cs="Arial"/>
                <w:szCs w:val="24"/>
              </w:rPr>
              <w:t>SoFP</w:t>
            </w:r>
            <w:proofErr w:type="spellEnd"/>
            <w:r w:rsidRPr="00BD6196">
              <w:rPr>
                <w:rFonts w:ascii="Arial" w:hAnsi="Arial" w:cs="Arial"/>
                <w:szCs w:val="24"/>
              </w:rPr>
              <w:t>) and off-</w:t>
            </w:r>
            <w:proofErr w:type="spellStart"/>
            <w:r w:rsidRPr="00BD6196">
              <w:rPr>
                <w:rFonts w:ascii="Arial" w:hAnsi="Arial" w:cs="Arial"/>
                <w:szCs w:val="24"/>
              </w:rPr>
              <w:t>SoFP</w:t>
            </w:r>
            <w:proofErr w:type="spellEnd"/>
            <w:r w:rsidRPr="00BD6196">
              <w:rPr>
                <w:rFonts w:ascii="Arial" w:hAnsi="Arial" w:cs="Arial"/>
                <w:szCs w:val="24"/>
              </w:rPr>
              <w:t xml:space="preserve"> which determine whether the expense of Private Finance Initiatives (PFI) and Local Improvement Finance Trust (LIFT) contracts should count toward an organisation’s assets and liabilities or not. Most PFI (and LIFT) schemes are on-</w:t>
            </w:r>
            <w:proofErr w:type="spellStart"/>
            <w:r w:rsidRPr="00BD6196">
              <w:rPr>
                <w:rFonts w:ascii="Arial" w:hAnsi="Arial" w:cs="Arial"/>
                <w:szCs w:val="24"/>
              </w:rPr>
              <w:t>SoFP</w:t>
            </w:r>
            <w:proofErr w:type="spellEnd"/>
            <w:r w:rsidRPr="00BD6196">
              <w:rPr>
                <w:rFonts w:ascii="Arial" w:hAnsi="Arial" w:cs="Arial"/>
                <w:szCs w:val="24"/>
              </w:rPr>
              <w:t xml:space="preserve">. </w:t>
            </w:r>
          </w:p>
          <w:p w14:paraId="318668F8" w14:textId="6B52D87D" w:rsidR="0092721F" w:rsidRPr="00BD6196" w:rsidRDefault="0092721F" w:rsidP="00BD6196">
            <w:pPr>
              <w:spacing w:after="0" w:line="276" w:lineRule="auto"/>
              <w:rPr>
                <w:rFonts w:ascii="Arial" w:hAnsi="Arial" w:cs="Arial"/>
                <w:szCs w:val="24"/>
              </w:rPr>
            </w:pPr>
          </w:p>
        </w:tc>
      </w:tr>
      <w:tr w:rsidR="0092721F" w:rsidRPr="00BD6196" w14:paraId="65BD1461"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B293AD" w14:textId="16F58B37"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7DD8157B" w14:textId="2F51426D"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This expense moves at the same rate of </w:t>
            </w:r>
            <w:hyperlink r:id="rId34" w:history="1">
              <w:r w:rsidRPr="00BD6196">
                <w:rPr>
                  <w:rStyle w:val="Hyperlink"/>
                  <w:rFonts w:ascii="Arial" w:hAnsi="Arial" w:cs="Arial"/>
                  <w:szCs w:val="24"/>
                </w:rPr>
                <w:t>RPI</w:t>
              </w:r>
            </w:hyperlink>
            <w:r w:rsidRPr="00BD6196">
              <w:rPr>
                <w:rFonts w:ascii="Arial" w:hAnsi="Arial" w:cs="Arial"/>
                <w:szCs w:val="24"/>
              </w:rPr>
              <w:t>.</w:t>
            </w:r>
          </w:p>
        </w:tc>
      </w:tr>
      <w:tr w:rsidR="0092721F" w:rsidRPr="00BD6196" w14:paraId="4EB2D398"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75EE36A2" w14:textId="228AB40C"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Rentals under operating leases</w:t>
            </w:r>
          </w:p>
        </w:tc>
      </w:tr>
      <w:tr w:rsidR="0092721F" w:rsidRPr="00BD6196" w14:paraId="71407968" w14:textId="77777777" w:rsidTr="00CC7D9E">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6C5A0B" w14:textId="01DE1E82"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00C71A16" w14:textId="7E5E807E"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~0.8%</w:t>
            </w:r>
          </w:p>
        </w:tc>
      </w:tr>
      <w:tr w:rsidR="0092721F" w:rsidRPr="00BD6196" w14:paraId="6A511485" w14:textId="77777777" w:rsidTr="00CC7D9E">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7E8C8F"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7EE3200A" w14:textId="222FE1B7" w:rsidR="0092721F" w:rsidRPr="00BD6196" w:rsidRDefault="0092721F" w:rsidP="00BD6196">
            <w:pPr>
              <w:spacing w:line="276" w:lineRule="auto"/>
              <w:rPr>
                <w:rFonts w:ascii="Arial" w:hAnsi="Arial" w:cs="Arial"/>
                <w:szCs w:val="24"/>
              </w:rPr>
            </w:pPr>
            <w:r w:rsidRPr="00BD6196">
              <w:rPr>
                <w:rFonts w:ascii="Arial" w:hAnsi="Arial" w:cs="Arial"/>
                <w:szCs w:val="24"/>
              </w:rPr>
              <w:t>Possibly includes spend on renting machinery and vehicles rather than dwellings.</w:t>
            </w:r>
          </w:p>
        </w:tc>
      </w:tr>
      <w:tr w:rsidR="0092721F" w:rsidRPr="00BD6196" w14:paraId="708DACD1"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D19F1" w14:textId="14B1BE99"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22FA1F40" w14:textId="1F5FEFEE" w:rsidR="0092721F" w:rsidRPr="00BD6196" w:rsidRDefault="00E47499" w:rsidP="00BD6196">
            <w:pPr>
              <w:spacing w:after="0" w:line="276" w:lineRule="auto"/>
              <w:rPr>
                <w:rFonts w:ascii="Arial" w:eastAsia="Times New Roman" w:hAnsi="Arial" w:cs="Arial"/>
                <w:color w:val="000000"/>
                <w:szCs w:val="24"/>
                <w:lang w:eastAsia="en-GB"/>
              </w:rPr>
            </w:pPr>
            <w:hyperlink r:id="rId35" w:history="1">
              <w:r w:rsidR="0092721F" w:rsidRPr="00BD6196">
                <w:rPr>
                  <w:rStyle w:val="Hyperlink"/>
                  <w:rFonts w:ascii="Arial" w:hAnsi="Arial" w:cs="Arial"/>
                </w:rPr>
                <w:t>SPPI 7732000000 Renting services of civil engineering machines and equipment</w:t>
              </w:r>
            </w:hyperlink>
          </w:p>
        </w:tc>
      </w:tr>
      <w:tr w:rsidR="0092721F" w:rsidRPr="00BD6196" w14:paraId="00B13442" w14:textId="77777777" w:rsidTr="00CC7D9E">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BD493"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5A86CE9D" w14:textId="692B317C" w:rsidR="0092721F" w:rsidRPr="00BD6196" w:rsidRDefault="0092721F" w:rsidP="00BD6196">
            <w:pPr>
              <w:spacing w:after="0" w:line="276" w:lineRule="auto"/>
              <w:rPr>
                <w:rFonts w:ascii="Arial" w:hAnsi="Arial" w:cs="Arial"/>
                <w:szCs w:val="24"/>
              </w:rPr>
            </w:pPr>
            <w:r w:rsidRPr="00BD6196">
              <w:rPr>
                <w:rFonts w:ascii="Arial" w:hAnsi="Arial" w:cs="Arial"/>
                <w:szCs w:val="24"/>
              </w:rPr>
              <w:t>Assuming the NHS does not rent any dwellings/property.</w:t>
            </w:r>
          </w:p>
        </w:tc>
      </w:tr>
      <w:tr w:rsidR="0092721F" w:rsidRPr="00BD6196" w14:paraId="6176DD60" w14:textId="77777777" w:rsidTr="00CC7D9E">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tcPr>
          <w:p w14:paraId="0EBC1B7A" w14:textId="1B227D54"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Transport (including patient travel)</w:t>
            </w:r>
          </w:p>
        </w:tc>
      </w:tr>
      <w:tr w:rsidR="0092721F" w:rsidRPr="00BD6196" w14:paraId="740043DE" w14:textId="77777777" w:rsidTr="00B47CE9">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tcPr>
          <w:p w14:paraId="2817A5B6" w14:textId="154EA632"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tcPr>
          <w:p w14:paraId="2E3CF7EE" w14:textId="0C0D9A59"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~0.8%</w:t>
            </w:r>
          </w:p>
        </w:tc>
      </w:tr>
      <w:tr w:rsidR="0092721F" w:rsidRPr="00BD6196" w14:paraId="5D4B9C58" w14:textId="77777777" w:rsidTr="00D1458E">
        <w:trPr>
          <w:trHeight w:val="48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tcPr>
          <w:p w14:paraId="493896C1" w14:textId="054A808B"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tcPr>
          <w:p w14:paraId="1AFC54BD" w14:textId="00E6EF39" w:rsidR="0092721F" w:rsidRPr="00BD6196" w:rsidRDefault="0092721F" w:rsidP="00BD6196">
            <w:pPr>
              <w:spacing w:line="276" w:lineRule="auto"/>
              <w:rPr>
                <w:rFonts w:ascii="Arial" w:hAnsi="Arial" w:cs="Arial"/>
                <w:szCs w:val="24"/>
              </w:rPr>
            </w:pPr>
            <w:r w:rsidRPr="00BD6196">
              <w:rPr>
                <w:rFonts w:ascii="Arial" w:hAnsi="Arial" w:cs="Arial"/>
                <w:szCs w:val="24"/>
              </w:rPr>
              <w:t xml:space="preserve">Travelling costs. </w:t>
            </w:r>
          </w:p>
        </w:tc>
      </w:tr>
      <w:tr w:rsidR="0092721F" w:rsidRPr="00BD6196" w14:paraId="4CDB678E" w14:textId="77777777" w:rsidTr="00B47CE9">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B9B2F6" w14:textId="7A816A37"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47135CC9" w14:textId="761AC840" w:rsidR="0092721F" w:rsidRPr="00BD6196" w:rsidRDefault="00E47499" w:rsidP="00BD6196">
            <w:pPr>
              <w:spacing w:after="0" w:line="276" w:lineRule="auto"/>
              <w:rPr>
                <w:rFonts w:ascii="Arial" w:eastAsia="Times New Roman" w:hAnsi="Arial" w:cs="Arial"/>
                <w:color w:val="000000"/>
                <w:szCs w:val="24"/>
                <w:lang w:eastAsia="en-GB"/>
              </w:rPr>
            </w:pPr>
            <w:hyperlink r:id="rId36" w:history="1">
              <w:r w:rsidR="0092721F" w:rsidRPr="00BD6196">
                <w:rPr>
                  <w:rStyle w:val="Hyperlink"/>
                  <w:rFonts w:ascii="Arial" w:eastAsia="Times New Roman" w:hAnsi="Arial" w:cs="Arial"/>
                  <w:szCs w:val="24"/>
                  <w:lang w:eastAsia="en-GB"/>
                </w:rPr>
                <w:t>CPI 07.3.2 Passenger transport by road</w:t>
              </w:r>
            </w:hyperlink>
          </w:p>
        </w:tc>
      </w:tr>
      <w:tr w:rsidR="0092721F" w:rsidRPr="00BD6196" w14:paraId="4EF42FA1" w14:textId="77777777" w:rsidTr="00840765">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tcPr>
          <w:p w14:paraId="0F1FB876" w14:textId="6D989662"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Amortisation of intangible assets</w:t>
            </w:r>
          </w:p>
        </w:tc>
      </w:tr>
      <w:tr w:rsidR="0092721F" w:rsidRPr="00BD6196" w14:paraId="0D6E5254" w14:textId="77777777" w:rsidTr="00840765">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D40623"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tcPr>
          <w:p w14:paraId="48FC2D9A" w14:textId="6C5FFC7D"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~0.2%</w:t>
            </w:r>
          </w:p>
        </w:tc>
      </w:tr>
      <w:tr w:rsidR="0092721F" w:rsidRPr="00BD6196" w14:paraId="0034E4C2" w14:textId="77777777" w:rsidTr="00D1458E">
        <w:trPr>
          <w:trHeight w:val="536"/>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90AC6"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tcPr>
          <w:p w14:paraId="5EFF38DA" w14:textId="33ECF394" w:rsidR="0092721F" w:rsidRPr="00BD6196" w:rsidRDefault="0092721F" w:rsidP="00BD6196">
            <w:pPr>
              <w:spacing w:line="276" w:lineRule="auto"/>
              <w:rPr>
                <w:rFonts w:ascii="Arial" w:hAnsi="Arial" w:cs="Arial"/>
                <w:szCs w:val="24"/>
              </w:rPr>
            </w:pPr>
            <w:r w:rsidRPr="00BD6196">
              <w:rPr>
                <w:rFonts w:ascii="Arial" w:hAnsi="Arial" w:cs="Arial"/>
                <w:szCs w:val="24"/>
              </w:rPr>
              <w:t xml:space="preserve">mainly IT/software equipment. </w:t>
            </w:r>
          </w:p>
        </w:tc>
      </w:tr>
      <w:tr w:rsidR="0092721F" w:rsidRPr="00BD6196" w14:paraId="1203E80A"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86A0" w14:textId="682027DE"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7B9158AD" w14:textId="64BCA618" w:rsidR="0092721F" w:rsidRPr="00BD6196" w:rsidRDefault="00E47499" w:rsidP="00BD6196">
            <w:pPr>
              <w:spacing w:after="0" w:line="276" w:lineRule="auto"/>
              <w:rPr>
                <w:rFonts w:ascii="Arial" w:eastAsia="Times New Roman" w:hAnsi="Arial" w:cs="Arial"/>
                <w:color w:val="000000"/>
                <w:szCs w:val="24"/>
                <w:lang w:eastAsia="en-GB"/>
              </w:rPr>
            </w:pPr>
            <w:hyperlink r:id="rId37" w:history="1">
              <w:r w:rsidR="0092721F" w:rsidRPr="00BD6196">
                <w:rPr>
                  <w:rStyle w:val="Hyperlink"/>
                  <w:rFonts w:ascii="Arial" w:eastAsia="Times New Roman" w:hAnsi="Arial" w:cs="Arial"/>
                  <w:szCs w:val="24"/>
                  <w:lang w:eastAsia="en-GB"/>
                </w:rPr>
                <w:t>SPPI 6200000000 Computer Services</w:t>
              </w:r>
            </w:hyperlink>
          </w:p>
        </w:tc>
      </w:tr>
      <w:tr w:rsidR="0092721F" w:rsidRPr="00BD6196" w14:paraId="0DA8E375" w14:textId="77777777" w:rsidTr="00840765">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tcPr>
          <w:p w14:paraId="6930BBFE" w14:textId="77777777"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Insurance</w:t>
            </w:r>
          </w:p>
        </w:tc>
      </w:tr>
      <w:tr w:rsidR="0092721F" w:rsidRPr="00BD6196" w14:paraId="1A225D27" w14:textId="77777777" w:rsidTr="00840765">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2AAD5D"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tcPr>
          <w:p w14:paraId="3749828E" w14:textId="77777777"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~0.1%</w:t>
            </w:r>
          </w:p>
        </w:tc>
      </w:tr>
      <w:tr w:rsidR="0092721F" w:rsidRPr="00BD6196" w14:paraId="72F86164" w14:textId="77777777" w:rsidTr="00D1458E">
        <w:trPr>
          <w:trHeight w:val="109"/>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5C534C"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tcPr>
          <w:p w14:paraId="77F451F0" w14:textId="13EBFB1F" w:rsidR="0092721F" w:rsidRPr="00BD6196" w:rsidRDefault="0092721F" w:rsidP="00BD6196">
            <w:pPr>
              <w:spacing w:line="276" w:lineRule="auto"/>
              <w:rPr>
                <w:rFonts w:ascii="Arial" w:hAnsi="Arial" w:cs="Arial"/>
                <w:szCs w:val="24"/>
              </w:rPr>
            </w:pPr>
            <w:r w:rsidRPr="00BD6196">
              <w:rPr>
                <w:rFonts w:ascii="Arial" w:hAnsi="Arial" w:cs="Arial"/>
                <w:szCs w:val="24"/>
              </w:rPr>
              <w:t xml:space="preserve">NHS insurance against claims. </w:t>
            </w:r>
          </w:p>
        </w:tc>
      </w:tr>
      <w:tr w:rsidR="0092721F" w:rsidRPr="00BD6196" w14:paraId="7C3E1333"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D2740" w14:textId="6DB98B69"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1C9787B6" w14:textId="13529265" w:rsidR="0092721F" w:rsidRPr="00BD6196" w:rsidRDefault="00E47499" w:rsidP="00BD6196">
            <w:pPr>
              <w:spacing w:after="0" w:line="276" w:lineRule="auto"/>
              <w:rPr>
                <w:rFonts w:ascii="Arial" w:eastAsia="Times New Roman" w:hAnsi="Arial" w:cs="Arial"/>
                <w:color w:val="000000"/>
                <w:szCs w:val="24"/>
                <w:lang w:eastAsia="en-GB"/>
              </w:rPr>
            </w:pPr>
            <w:hyperlink r:id="rId38" w:history="1">
              <w:r w:rsidR="0092721F" w:rsidRPr="00BD6196">
                <w:rPr>
                  <w:rStyle w:val="Hyperlink"/>
                  <w:rFonts w:ascii="Arial" w:eastAsia="Times New Roman" w:hAnsi="Arial" w:cs="Arial"/>
                  <w:szCs w:val="24"/>
                  <w:lang w:eastAsia="en-GB"/>
                </w:rPr>
                <w:t>CPI 12.5 Insurance</w:t>
              </w:r>
            </w:hyperlink>
          </w:p>
        </w:tc>
      </w:tr>
      <w:tr w:rsidR="0092721F" w:rsidRPr="00BD6196" w14:paraId="06D5E224" w14:textId="77777777" w:rsidTr="00D1458E">
        <w:trPr>
          <w:trHeight w:val="339"/>
          <w:jc w:val="center"/>
        </w:trPr>
        <w:tc>
          <w:tcPr>
            <w:tcW w:w="8414"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tcPr>
          <w:p w14:paraId="5D32F460" w14:textId="4E515850" w:rsidR="0092721F" w:rsidRPr="00BD6196" w:rsidRDefault="0092721F" w:rsidP="00BD6196">
            <w:pPr>
              <w:spacing w:after="0" w:line="276" w:lineRule="auto"/>
              <w:jc w:val="center"/>
              <w:rPr>
                <w:rFonts w:ascii="Arial" w:hAnsi="Arial" w:cs="Arial"/>
                <w:szCs w:val="24"/>
              </w:rPr>
            </w:pPr>
            <w:r w:rsidRPr="00BD6196">
              <w:rPr>
                <w:rFonts w:ascii="Arial" w:eastAsia="Times New Roman" w:hAnsi="Arial" w:cs="Arial"/>
                <w:b/>
                <w:color w:val="000000"/>
                <w:szCs w:val="24"/>
                <w:lang w:eastAsia="en-GB"/>
              </w:rPr>
              <w:t>Car parking and security</w:t>
            </w:r>
          </w:p>
        </w:tc>
      </w:tr>
      <w:tr w:rsidR="0092721F" w:rsidRPr="00BD6196" w14:paraId="1B66E311"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DEAF5" w14:textId="481AA9C1"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47AB8DAC" w14:textId="466826A8" w:rsidR="0092721F" w:rsidRPr="00BD6196" w:rsidRDefault="0092721F" w:rsidP="00BD6196">
            <w:pPr>
              <w:spacing w:after="0" w:line="276" w:lineRule="auto"/>
              <w:rPr>
                <w:rFonts w:ascii="Arial" w:hAnsi="Arial" w:cs="Arial"/>
                <w:szCs w:val="24"/>
              </w:rPr>
            </w:pPr>
            <w:r w:rsidRPr="00BD6196">
              <w:rPr>
                <w:rFonts w:ascii="Arial" w:hAnsi="Arial" w:cs="Arial"/>
                <w:szCs w:val="24"/>
              </w:rPr>
              <w:t>~0.05%</w:t>
            </w:r>
          </w:p>
        </w:tc>
      </w:tr>
      <w:tr w:rsidR="0092721F" w:rsidRPr="00BD6196" w14:paraId="508414AE"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220C94" w14:textId="41EF24BC"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lastRenderedPageBreak/>
              <w:t>Consists of</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5A497E6D" w14:textId="22838BF7" w:rsidR="0092721F" w:rsidRPr="00BD6196" w:rsidRDefault="0092721F" w:rsidP="00BD6196">
            <w:pPr>
              <w:spacing w:after="0" w:line="276" w:lineRule="auto"/>
              <w:rPr>
                <w:rFonts w:ascii="Arial" w:hAnsi="Arial" w:cs="Arial"/>
                <w:szCs w:val="24"/>
              </w:rPr>
            </w:pPr>
            <w:r w:rsidRPr="00BD6196">
              <w:rPr>
                <w:rFonts w:ascii="Arial" w:hAnsi="Arial" w:cs="Arial"/>
                <w:szCs w:val="24"/>
              </w:rPr>
              <w:t>costs of maintaining car parking space and security.</w:t>
            </w:r>
          </w:p>
        </w:tc>
      </w:tr>
      <w:tr w:rsidR="0092721F" w:rsidRPr="00BD6196" w14:paraId="5D043D9C"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1F2B7D" w14:textId="0EFEFFAC"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25D44FC0" w14:textId="574F2CCB" w:rsidR="0092721F" w:rsidRPr="00BD6196" w:rsidRDefault="00E47499" w:rsidP="00BD6196">
            <w:pPr>
              <w:spacing w:after="0" w:line="276" w:lineRule="auto"/>
              <w:rPr>
                <w:rFonts w:ascii="Arial" w:hAnsi="Arial" w:cs="Arial"/>
                <w:szCs w:val="24"/>
              </w:rPr>
            </w:pPr>
            <w:hyperlink r:id="rId39" w:history="1">
              <w:r w:rsidR="00F14C28">
                <w:rPr>
                  <w:rStyle w:val="Hyperlink"/>
                  <w:rFonts w:ascii="Arial" w:eastAsia="Times New Roman" w:hAnsi="Arial" w:cs="Arial"/>
                  <w:lang w:eastAsia="en-GB"/>
                </w:rPr>
                <w:t>C</w:t>
              </w:r>
              <w:r w:rsidR="00F14C28" w:rsidRPr="00BD6196">
                <w:rPr>
                  <w:rStyle w:val="Hyperlink"/>
                  <w:rFonts w:ascii="Arial" w:eastAsia="Times New Roman" w:hAnsi="Arial" w:cs="Arial"/>
                  <w:lang w:eastAsia="en-GB"/>
                </w:rPr>
                <w:t>OPI Non-Housing Repair and Maintenance</w:t>
              </w:r>
            </w:hyperlink>
          </w:p>
        </w:tc>
      </w:tr>
      <w:tr w:rsidR="0092721F" w:rsidRPr="00BD6196" w14:paraId="70CC20FE" w14:textId="77777777" w:rsidTr="00D1458E">
        <w:trPr>
          <w:trHeight w:val="106"/>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617C7" w14:textId="3C8B158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4BB4939C" w14:textId="301F8E62" w:rsidR="0092721F" w:rsidRPr="00BD6196" w:rsidRDefault="008D6695" w:rsidP="00BD6196">
            <w:pPr>
              <w:spacing w:after="0" w:line="276" w:lineRule="auto"/>
              <w:rPr>
                <w:rFonts w:ascii="Arial" w:hAnsi="Arial" w:cs="Arial"/>
                <w:szCs w:val="24"/>
              </w:rPr>
            </w:pPr>
            <w:r w:rsidRPr="00BD6196">
              <w:rPr>
                <w:rFonts w:ascii="Arial" w:hAnsi="Arial" w:cs="Arial"/>
                <w:szCs w:val="24"/>
              </w:rPr>
              <w:t xml:space="preserve">assuming this does not include capital costs of car parks. </w:t>
            </w:r>
          </w:p>
          <w:p w14:paraId="548AEDA8" w14:textId="54048023" w:rsidR="008D6695" w:rsidRPr="00BD6196" w:rsidRDefault="008D6695" w:rsidP="00BD6196">
            <w:pPr>
              <w:spacing w:after="0" w:line="276" w:lineRule="auto"/>
              <w:rPr>
                <w:rFonts w:ascii="Arial" w:hAnsi="Arial" w:cs="Arial"/>
                <w:szCs w:val="24"/>
              </w:rPr>
            </w:pPr>
          </w:p>
        </w:tc>
      </w:tr>
      <w:tr w:rsidR="0092721F" w:rsidRPr="00BD6196" w14:paraId="3CEBC245" w14:textId="77777777" w:rsidTr="00840765">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17AF58BB" w14:textId="77777777"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Clinical Negligence</w:t>
            </w:r>
          </w:p>
        </w:tc>
      </w:tr>
      <w:tr w:rsidR="0092721F" w:rsidRPr="00BD6196" w14:paraId="34FF3846" w14:textId="77777777" w:rsidTr="00840765">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89DB8"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03176EB8" w14:textId="77777777"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~2.4%</w:t>
            </w:r>
          </w:p>
        </w:tc>
      </w:tr>
      <w:tr w:rsidR="0092721F" w:rsidRPr="00BD6196" w14:paraId="2739068D" w14:textId="77777777" w:rsidTr="00840765">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1EAE73"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hideMark/>
          </w:tcPr>
          <w:p w14:paraId="3A17342A" w14:textId="77777777" w:rsidR="0092721F" w:rsidRPr="00BD6196" w:rsidRDefault="0092721F" w:rsidP="00BD6196">
            <w:pPr>
              <w:spacing w:line="276" w:lineRule="auto"/>
              <w:rPr>
                <w:rFonts w:ascii="Arial" w:hAnsi="Arial" w:cs="Arial"/>
                <w:szCs w:val="24"/>
              </w:rPr>
            </w:pPr>
            <w:r w:rsidRPr="00BD6196">
              <w:rPr>
                <w:rFonts w:ascii="Arial" w:hAnsi="Arial" w:cs="Arial"/>
                <w:szCs w:val="24"/>
              </w:rPr>
              <w:t xml:space="preserve">indemnity cover for clinical negligence claims against trusts in England, through the Clinical Negligence Scheme for Trusts (CNST). </w:t>
            </w:r>
          </w:p>
        </w:tc>
      </w:tr>
      <w:tr w:rsidR="0092721F" w:rsidRPr="00BD6196" w14:paraId="64DE4A31"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D1A26" w14:textId="78AC05C1"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1C5EDC3E" w14:textId="3130121B"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Residual</w:t>
            </w:r>
            <w:r w:rsidR="008D6695" w:rsidRPr="00BD6196">
              <w:rPr>
                <w:rFonts w:ascii="Arial" w:eastAsia="Times New Roman" w:hAnsi="Arial" w:cs="Arial"/>
                <w:color w:val="000000"/>
                <w:szCs w:val="24"/>
                <w:lang w:eastAsia="en-GB"/>
              </w:rPr>
              <w:t xml:space="preserve"> – assumed to </w:t>
            </w:r>
            <w:r w:rsidR="004F2158" w:rsidRPr="00BD6196">
              <w:rPr>
                <w:rFonts w:ascii="Arial" w:eastAsia="Times New Roman" w:hAnsi="Arial" w:cs="Arial"/>
                <w:color w:val="000000"/>
                <w:szCs w:val="24"/>
                <w:lang w:eastAsia="en-GB"/>
              </w:rPr>
              <w:t xml:space="preserve">have inflation </w:t>
            </w:r>
            <w:r w:rsidR="008D6695" w:rsidRPr="00BD6196">
              <w:rPr>
                <w:rFonts w:ascii="Arial" w:eastAsia="Times New Roman" w:hAnsi="Arial" w:cs="Arial"/>
                <w:color w:val="000000"/>
                <w:szCs w:val="24"/>
                <w:lang w:eastAsia="en-GB"/>
              </w:rPr>
              <w:t xml:space="preserve">at the same rate as everything else. </w:t>
            </w:r>
          </w:p>
          <w:p w14:paraId="5EA11638" w14:textId="0E8EEE76" w:rsidR="008D6695" w:rsidRPr="00BD6196" w:rsidRDefault="008D6695" w:rsidP="00BD6196">
            <w:pPr>
              <w:spacing w:after="0" w:line="276" w:lineRule="auto"/>
              <w:rPr>
                <w:rFonts w:ascii="Arial" w:eastAsia="Times New Roman" w:hAnsi="Arial" w:cs="Arial"/>
                <w:color w:val="000000"/>
                <w:szCs w:val="24"/>
                <w:lang w:eastAsia="en-GB"/>
              </w:rPr>
            </w:pPr>
          </w:p>
        </w:tc>
      </w:tr>
      <w:tr w:rsidR="0092721F" w:rsidRPr="00BD6196" w14:paraId="2504B670"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D13090"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Caveats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2D8C7406" w14:textId="77777777" w:rsidR="0092721F" w:rsidRPr="00BD6196" w:rsidRDefault="0092721F" w:rsidP="00BD6196">
            <w:pPr>
              <w:spacing w:after="0" w:line="276" w:lineRule="auto"/>
              <w:rPr>
                <w:rFonts w:ascii="Arial" w:hAnsi="Arial" w:cs="Arial"/>
                <w:szCs w:val="24"/>
              </w:rPr>
            </w:pPr>
          </w:p>
          <w:p w14:paraId="6AA26A39" w14:textId="55FD2EDB" w:rsidR="0092721F" w:rsidRPr="00BD6196" w:rsidRDefault="0092721F" w:rsidP="00BD6196">
            <w:pPr>
              <w:spacing w:after="0" w:line="276" w:lineRule="auto"/>
              <w:rPr>
                <w:rFonts w:ascii="Arial" w:hAnsi="Arial" w:cs="Arial"/>
                <w:szCs w:val="24"/>
              </w:rPr>
            </w:pPr>
            <w:r w:rsidRPr="00BD6196">
              <w:rPr>
                <w:rFonts w:ascii="Arial" w:hAnsi="Arial" w:cs="Arial"/>
                <w:szCs w:val="24"/>
              </w:rPr>
              <w:t xml:space="preserve">The current position is for CNST prices to follow the residual </w:t>
            </w:r>
            <w:r w:rsidR="00F14C28">
              <w:rPr>
                <w:rFonts w:ascii="Arial" w:hAnsi="Arial" w:cs="Arial"/>
                <w:szCs w:val="24"/>
              </w:rPr>
              <w:t>as</w:t>
            </w:r>
            <w:r w:rsidRPr="00BD6196">
              <w:rPr>
                <w:rFonts w:ascii="Arial" w:hAnsi="Arial" w:cs="Arial"/>
                <w:szCs w:val="24"/>
              </w:rPr>
              <w:t xml:space="preserve"> spend input is unlikely to be for output for that explicit year. </w:t>
            </w:r>
            <w:r w:rsidR="00F14C28" w:rsidRPr="00F14C28">
              <w:rPr>
                <w:rFonts w:ascii="Arial" w:hAnsi="Arial" w:cs="Arial"/>
                <w:szCs w:val="24"/>
              </w:rPr>
              <w:t>A</w:t>
            </w:r>
            <w:r w:rsidR="00F14C28" w:rsidRPr="00F14C28">
              <w:rPr>
                <w:rFonts w:ascii="Arial" w:hAnsi="Arial" w:cs="Arial"/>
              </w:rPr>
              <w:t xml:space="preserve">round 37% </w:t>
            </w:r>
            <w:r w:rsidRPr="00F14C28">
              <w:rPr>
                <w:rFonts w:ascii="Arial" w:hAnsi="Arial" w:cs="Arial"/>
                <w:szCs w:val="24"/>
              </w:rPr>
              <w:t>of</w:t>
            </w:r>
            <w:r w:rsidRPr="00BD6196">
              <w:rPr>
                <w:rFonts w:ascii="Arial" w:hAnsi="Arial" w:cs="Arial"/>
                <w:szCs w:val="24"/>
              </w:rPr>
              <w:t xml:space="preserve"> CNST spend is on legal fees</w:t>
            </w:r>
            <w:r w:rsidR="00F14C28">
              <w:rPr>
                <w:rStyle w:val="FootnoteReference"/>
                <w:rFonts w:ascii="Arial" w:hAnsi="Arial" w:cs="Arial"/>
                <w:szCs w:val="24"/>
              </w:rPr>
              <w:footnoteReference w:id="2"/>
            </w:r>
            <w:r w:rsidRPr="00BD6196">
              <w:rPr>
                <w:rFonts w:ascii="Arial" w:hAnsi="Arial" w:cs="Arial"/>
                <w:szCs w:val="24"/>
              </w:rPr>
              <w:t xml:space="preserve"> and it may be possible to use a deflator for this.</w:t>
            </w:r>
            <w:r w:rsidR="006B64DA" w:rsidRPr="00BD6196">
              <w:rPr>
                <w:rFonts w:ascii="Arial" w:hAnsi="Arial" w:cs="Arial"/>
                <w:szCs w:val="24"/>
              </w:rPr>
              <w:t xml:space="preserve"> </w:t>
            </w:r>
          </w:p>
          <w:p w14:paraId="4EDA5FE9" w14:textId="2A9E5A5E" w:rsidR="006B64DA" w:rsidRPr="00BD6196" w:rsidRDefault="006B64DA" w:rsidP="00BD6196">
            <w:pPr>
              <w:spacing w:after="0" w:line="276" w:lineRule="auto"/>
              <w:rPr>
                <w:rFonts w:ascii="Arial" w:hAnsi="Arial" w:cs="Arial"/>
                <w:szCs w:val="24"/>
              </w:rPr>
            </w:pPr>
          </w:p>
          <w:p w14:paraId="4D70741E" w14:textId="394F02A6" w:rsidR="006B64DA" w:rsidRPr="00BD6196" w:rsidRDefault="006B64DA" w:rsidP="00BD6196">
            <w:pPr>
              <w:spacing w:after="0" w:line="276" w:lineRule="auto"/>
              <w:rPr>
                <w:rFonts w:ascii="Arial" w:hAnsi="Arial" w:cs="Arial"/>
                <w:szCs w:val="24"/>
              </w:rPr>
            </w:pPr>
            <w:r w:rsidRPr="00BD6196">
              <w:rPr>
                <w:rFonts w:ascii="Arial" w:hAnsi="Arial" w:cs="Arial"/>
                <w:szCs w:val="24"/>
              </w:rPr>
              <w:t xml:space="preserve">Our current recommendation is to exclude CNST spend in productivity calculations since the spend amount does not represent that year’s activity.  </w:t>
            </w:r>
          </w:p>
          <w:p w14:paraId="7A40DA54" w14:textId="004B7A60" w:rsidR="0092721F" w:rsidRPr="00BD6196" w:rsidRDefault="0092721F" w:rsidP="00BD6196">
            <w:pPr>
              <w:spacing w:after="0" w:line="276" w:lineRule="auto"/>
              <w:rPr>
                <w:rFonts w:ascii="Arial" w:hAnsi="Arial" w:cs="Arial"/>
                <w:szCs w:val="24"/>
              </w:rPr>
            </w:pPr>
          </w:p>
        </w:tc>
      </w:tr>
      <w:tr w:rsidR="0092721F" w:rsidRPr="00BD6196" w14:paraId="0EA7F3D5" w14:textId="77777777" w:rsidTr="00840765">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4DBE0A8F" w14:textId="578ED0E5"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 xml:space="preserve">Purchase of health from NHS, DHSC and non-NHS, non-DHSC bodies; Purchase of social care </w:t>
            </w:r>
          </w:p>
        </w:tc>
      </w:tr>
      <w:tr w:rsidR="0092721F" w:rsidRPr="00BD6196" w14:paraId="318A97B8" w14:textId="77777777" w:rsidTr="00840765">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41EAB9"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67D6ABD2" w14:textId="4E4E2EA8"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~1.7% (cumulative)</w:t>
            </w:r>
          </w:p>
        </w:tc>
      </w:tr>
      <w:tr w:rsidR="0092721F" w:rsidRPr="00BD6196" w14:paraId="62FB91AB" w14:textId="77777777" w:rsidTr="007428A5">
        <w:trPr>
          <w:trHeight w:val="75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B2E0F"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tcPr>
          <w:p w14:paraId="5552C279" w14:textId="00E618A8" w:rsidR="0092721F" w:rsidRPr="00BD6196" w:rsidRDefault="007E7C9F" w:rsidP="00BD6196">
            <w:pPr>
              <w:spacing w:line="276" w:lineRule="auto"/>
              <w:rPr>
                <w:rFonts w:ascii="Arial" w:hAnsi="Arial" w:cs="Arial"/>
                <w:szCs w:val="24"/>
              </w:rPr>
            </w:pPr>
            <w:r w:rsidRPr="00BD6196">
              <w:rPr>
                <w:rFonts w:ascii="Arial" w:hAnsi="Arial" w:cs="Arial"/>
                <w:szCs w:val="24"/>
              </w:rPr>
              <w:t xml:space="preserve">provider </w:t>
            </w:r>
            <w:r w:rsidR="0092721F" w:rsidRPr="00BD6196">
              <w:rPr>
                <w:rFonts w:ascii="Arial" w:hAnsi="Arial" w:cs="Arial"/>
                <w:szCs w:val="24"/>
              </w:rPr>
              <w:t xml:space="preserve">spend on buying </w:t>
            </w:r>
            <w:r w:rsidRPr="00BD6196">
              <w:rPr>
                <w:rFonts w:ascii="Arial" w:hAnsi="Arial" w:cs="Arial"/>
                <w:szCs w:val="24"/>
              </w:rPr>
              <w:t>services from trusts/private sector. M</w:t>
            </w:r>
            <w:r w:rsidR="0092721F" w:rsidRPr="00BD6196">
              <w:rPr>
                <w:rFonts w:ascii="Arial" w:hAnsi="Arial" w:cs="Arial"/>
                <w:szCs w:val="24"/>
              </w:rPr>
              <w:t xml:space="preserve">ostly mental health and community health services. </w:t>
            </w:r>
          </w:p>
        </w:tc>
      </w:tr>
      <w:tr w:rsidR="0092721F" w:rsidRPr="00BD6196" w14:paraId="2B267404"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034AB" w14:textId="2981BC2E"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519D3DAF" w14:textId="77777777"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Residual</w:t>
            </w:r>
            <w:r w:rsidR="008D6695" w:rsidRPr="00BD6196">
              <w:rPr>
                <w:rFonts w:ascii="Arial" w:eastAsia="Times New Roman" w:hAnsi="Arial" w:cs="Arial"/>
                <w:color w:val="000000"/>
                <w:szCs w:val="24"/>
                <w:lang w:eastAsia="en-GB"/>
              </w:rPr>
              <w:t xml:space="preserve"> – </w:t>
            </w:r>
            <w:r w:rsidR="004F2158" w:rsidRPr="00BD6196">
              <w:rPr>
                <w:rFonts w:ascii="Arial" w:eastAsia="Times New Roman" w:hAnsi="Arial" w:cs="Arial"/>
                <w:color w:val="000000"/>
                <w:szCs w:val="24"/>
                <w:lang w:eastAsia="en-GB"/>
              </w:rPr>
              <w:t xml:space="preserve">assumed to have inflation at the same rate as everything else. </w:t>
            </w:r>
          </w:p>
          <w:p w14:paraId="50C1855F" w14:textId="4FE65023" w:rsidR="004F2158" w:rsidRPr="00BD6196" w:rsidRDefault="004F2158" w:rsidP="00BD6196">
            <w:pPr>
              <w:spacing w:after="0" w:line="276" w:lineRule="auto"/>
              <w:rPr>
                <w:rFonts w:ascii="Arial" w:eastAsia="Times New Roman" w:hAnsi="Arial" w:cs="Arial"/>
                <w:color w:val="000000"/>
                <w:szCs w:val="24"/>
                <w:lang w:eastAsia="en-GB"/>
              </w:rPr>
            </w:pPr>
          </w:p>
        </w:tc>
      </w:tr>
      <w:tr w:rsidR="0092721F" w:rsidRPr="00BD6196" w14:paraId="26BB83D7" w14:textId="77777777" w:rsidTr="00840765">
        <w:trPr>
          <w:trHeight w:val="331"/>
          <w:jc w:val="center"/>
        </w:trPr>
        <w:tc>
          <w:tcPr>
            <w:tcW w:w="8414" w:type="dxa"/>
            <w:gridSpan w:val="3"/>
            <w:tcBorders>
              <w:top w:val="single" w:sz="4" w:space="0" w:color="auto"/>
              <w:left w:val="single" w:sz="4" w:space="0" w:color="auto"/>
              <w:bottom w:val="single" w:sz="4" w:space="0" w:color="auto"/>
              <w:right w:val="single" w:sz="4" w:space="0" w:color="000000"/>
            </w:tcBorders>
            <w:shd w:val="clear" w:color="auto" w:fill="BDD6EE" w:themeFill="accent5" w:themeFillTint="66"/>
            <w:noWrap/>
            <w:vAlign w:val="bottom"/>
            <w:hideMark/>
          </w:tcPr>
          <w:p w14:paraId="40A57663" w14:textId="502A83EB" w:rsidR="0092721F" w:rsidRPr="00BD6196" w:rsidRDefault="0092721F" w:rsidP="00BD6196">
            <w:pPr>
              <w:spacing w:after="0" w:line="276" w:lineRule="auto"/>
              <w:jc w:val="center"/>
              <w:rPr>
                <w:rFonts w:ascii="Arial" w:eastAsia="Times New Roman" w:hAnsi="Arial" w:cs="Arial"/>
                <w:b/>
                <w:color w:val="000000"/>
                <w:szCs w:val="24"/>
                <w:lang w:eastAsia="en-GB"/>
              </w:rPr>
            </w:pPr>
            <w:r w:rsidRPr="00BD6196">
              <w:rPr>
                <w:rFonts w:ascii="Arial" w:eastAsia="Times New Roman" w:hAnsi="Arial" w:cs="Arial"/>
                <w:b/>
                <w:color w:val="000000"/>
                <w:szCs w:val="24"/>
                <w:lang w:eastAsia="en-GB"/>
              </w:rPr>
              <w:t>Impairments, provisions, hospitality, losses ex gratia, consortium arrangements, external payroll, other, NHS charitable funds</w:t>
            </w:r>
          </w:p>
        </w:tc>
      </w:tr>
      <w:tr w:rsidR="0092721F" w:rsidRPr="00BD6196" w14:paraId="70C445A8" w14:textId="77777777" w:rsidTr="00840765">
        <w:trPr>
          <w:trHeight w:val="565"/>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D9AB6"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Proportion of spend</w:t>
            </w:r>
          </w:p>
        </w:tc>
        <w:tc>
          <w:tcPr>
            <w:tcW w:w="5992" w:type="dxa"/>
            <w:tcBorders>
              <w:top w:val="nil"/>
              <w:left w:val="nil"/>
              <w:bottom w:val="single" w:sz="4" w:space="0" w:color="auto"/>
              <w:right w:val="single" w:sz="4" w:space="0" w:color="auto"/>
            </w:tcBorders>
            <w:shd w:val="clear" w:color="auto" w:fill="auto"/>
            <w:noWrap/>
            <w:vAlign w:val="center"/>
            <w:hideMark/>
          </w:tcPr>
          <w:p w14:paraId="3EE4F629" w14:textId="41E59896"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~1.5% (cumulative)</w:t>
            </w:r>
          </w:p>
        </w:tc>
      </w:tr>
      <w:tr w:rsidR="0092721F" w:rsidRPr="00BD6196" w14:paraId="780D491F" w14:textId="77777777" w:rsidTr="00BD6196">
        <w:trPr>
          <w:trHeight w:val="251"/>
          <w:jc w:val="center"/>
        </w:trPr>
        <w:tc>
          <w:tcPr>
            <w:tcW w:w="242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B128CE" w14:textId="77777777" w:rsidR="0092721F" w:rsidRPr="00BD6196" w:rsidRDefault="0092721F"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Consists of</w:t>
            </w:r>
          </w:p>
        </w:tc>
        <w:tc>
          <w:tcPr>
            <w:tcW w:w="5992" w:type="dxa"/>
            <w:tcBorders>
              <w:top w:val="nil"/>
              <w:left w:val="nil"/>
              <w:bottom w:val="single" w:sz="4" w:space="0" w:color="auto"/>
              <w:right w:val="single" w:sz="4" w:space="0" w:color="auto"/>
            </w:tcBorders>
            <w:shd w:val="clear" w:color="auto" w:fill="auto"/>
            <w:noWrap/>
            <w:vAlign w:val="center"/>
          </w:tcPr>
          <w:p w14:paraId="0B773A89" w14:textId="2D77C577" w:rsidR="0092721F" w:rsidRPr="00BD6196" w:rsidRDefault="0092721F" w:rsidP="00BD6196">
            <w:pPr>
              <w:spacing w:line="276" w:lineRule="auto"/>
              <w:rPr>
                <w:rFonts w:ascii="Arial" w:hAnsi="Arial" w:cs="Arial"/>
                <w:szCs w:val="24"/>
              </w:rPr>
            </w:pPr>
          </w:p>
        </w:tc>
      </w:tr>
      <w:tr w:rsidR="0092721F" w:rsidRPr="00BD6196" w14:paraId="7C539A8C" w14:textId="77777777" w:rsidTr="00840765">
        <w:trPr>
          <w:trHeight w:val="565"/>
          <w:jc w:val="center"/>
        </w:trPr>
        <w:tc>
          <w:tcPr>
            <w:tcW w:w="2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22AC" w14:textId="7CF4D0E6" w:rsidR="0092721F" w:rsidRPr="00BD6196" w:rsidRDefault="00BE69FB" w:rsidP="00BD6196">
            <w:pPr>
              <w:spacing w:after="0" w:line="276" w:lineRule="auto"/>
              <w:jc w:val="right"/>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Deflator(s)</w:t>
            </w:r>
          </w:p>
        </w:tc>
        <w:tc>
          <w:tcPr>
            <w:tcW w:w="5992" w:type="dxa"/>
            <w:tcBorders>
              <w:top w:val="single" w:sz="4" w:space="0" w:color="auto"/>
              <w:left w:val="nil"/>
              <w:bottom w:val="single" w:sz="4" w:space="0" w:color="auto"/>
              <w:right w:val="single" w:sz="4" w:space="0" w:color="auto"/>
            </w:tcBorders>
            <w:shd w:val="clear" w:color="auto" w:fill="auto"/>
            <w:noWrap/>
            <w:vAlign w:val="center"/>
          </w:tcPr>
          <w:p w14:paraId="72ACDF88" w14:textId="77777777" w:rsidR="0092721F" w:rsidRPr="00BD6196" w:rsidRDefault="0092721F" w:rsidP="00BD6196">
            <w:pPr>
              <w:spacing w:after="0" w:line="276" w:lineRule="auto"/>
              <w:rPr>
                <w:rFonts w:ascii="Arial" w:eastAsia="Times New Roman" w:hAnsi="Arial" w:cs="Arial"/>
                <w:color w:val="000000"/>
                <w:szCs w:val="24"/>
                <w:lang w:eastAsia="en-GB"/>
              </w:rPr>
            </w:pPr>
            <w:r w:rsidRPr="00BD6196">
              <w:rPr>
                <w:rFonts w:ascii="Arial" w:eastAsia="Times New Roman" w:hAnsi="Arial" w:cs="Arial"/>
                <w:color w:val="000000"/>
                <w:szCs w:val="24"/>
                <w:lang w:eastAsia="en-GB"/>
              </w:rPr>
              <w:t>Residual</w:t>
            </w:r>
            <w:r w:rsidR="008D6695" w:rsidRPr="00BD6196">
              <w:rPr>
                <w:rFonts w:ascii="Arial" w:eastAsia="Times New Roman" w:hAnsi="Arial" w:cs="Arial"/>
                <w:color w:val="000000"/>
                <w:szCs w:val="24"/>
                <w:lang w:eastAsia="en-GB"/>
              </w:rPr>
              <w:t xml:space="preserve"> – </w:t>
            </w:r>
            <w:r w:rsidR="004F2158" w:rsidRPr="00BD6196">
              <w:rPr>
                <w:rFonts w:ascii="Arial" w:eastAsia="Times New Roman" w:hAnsi="Arial" w:cs="Arial"/>
                <w:color w:val="000000"/>
                <w:szCs w:val="24"/>
                <w:lang w:eastAsia="en-GB"/>
              </w:rPr>
              <w:t xml:space="preserve">assumed to have inflation at the same rate as everything else. </w:t>
            </w:r>
          </w:p>
          <w:p w14:paraId="162DF66E" w14:textId="18543CCA" w:rsidR="004F2158" w:rsidRPr="00BD6196" w:rsidRDefault="004F2158" w:rsidP="00BD6196">
            <w:pPr>
              <w:spacing w:after="0" w:line="276" w:lineRule="auto"/>
              <w:rPr>
                <w:rFonts w:ascii="Arial" w:eastAsia="Times New Roman" w:hAnsi="Arial" w:cs="Arial"/>
                <w:color w:val="000000"/>
                <w:szCs w:val="24"/>
                <w:lang w:eastAsia="en-GB"/>
              </w:rPr>
            </w:pPr>
          </w:p>
        </w:tc>
      </w:tr>
    </w:tbl>
    <w:p w14:paraId="1B6A20FD" w14:textId="0CA7568D" w:rsidR="00235EE6" w:rsidRDefault="00F321B3" w:rsidP="00BD6196">
      <w:pPr>
        <w:pStyle w:val="ListParagraph"/>
        <w:numPr>
          <w:ilvl w:val="0"/>
          <w:numId w:val="6"/>
        </w:numPr>
        <w:spacing w:line="276" w:lineRule="auto"/>
        <w:rPr>
          <w:rFonts w:ascii="Arial" w:hAnsi="Arial" w:cs="Arial"/>
          <w:sz w:val="24"/>
        </w:rPr>
      </w:pPr>
      <w:r w:rsidRPr="00BD6196">
        <w:rPr>
          <w:rFonts w:ascii="Arial" w:hAnsi="Arial" w:cs="Arial"/>
          <w:sz w:val="24"/>
        </w:rPr>
        <w:lastRenderedPageBreak/>
        <w:t xml:space="preserve">The table below details spend proportions, inflation deflators and calculated </w:t>
      </w:r>
      <w:r w:rsidR="00D633E8">
        <w:rPr>
          <w:rFonts w:ascii="Arial" w:hAnsi="Arial" w:cs="Arial"/>
          <w:sz w:val="24"/>
        </w:rPr>
        <w:t>inflation</w:t>
      </w:r>
      <w:r w:rsidRPr="00BD6196">
        <w:rPr>
          <w:rFonts w:ascii="Arial" w:hAnsi="Arial" w:cs="Arial"/>
          <w:sz w:val="24"/>
        </w:rPr>
        <w:t xml:space="preserve"> indices for each item </w:t>
      </w:r>
      <w:r w:rsidR="00E246EB" w:rsidRPr="00BD6196">
        <w:rPr>
          <w:rFonts w:ascii="Arial" w:hAnsi="Arial" w:cs="Arial"/>
          <w:sz w:val="24"/>
        </w:rPr>
        <w:t xml:space="preserve">included </w:t>
      </w:r>
      <w:r w:rsidRPr="00BD6196">
        <w:rPr>
          <w:rFonts w:ascii="Arial" w:hAnsi="Arial" w:cs="Arial"/>
          <w:sz w:val="24"/>
        </w:rPr>
        <w:t xml:space="preserve">in </w:t>
      </w:r>
      <w:r w:rsidR="00E246EB" w:rsidRPr="00BD6196">
        <w:rPr>
          <w:rFonts w:ascii="Arial" w:hAnsi="Arial" w:cs="Arial"/>
          <w:sz w:val="24"/>
        </w:rPr>
        <w:t xml:space="preserve">the </w:t>
      </w:r>
      <w:r w:rsidRPr="00BD6196">
        <w:rPr>
          <w:rFonts w:ascii="Arial" w:hAnsi="Arial" w:cs="Arial"/>
          <w:sz w:val="24"/>
        </w:rPr>
        <w:t>NHS provider accounts for 201</w:t>
      </w:r>
      <w:r w:rsidR="00F14C28">
        <w:rPr>
          <w:rFonts w:ascii="Arial" w:hAnsi="Arial" w:cs="Arial"/>
          <w:sz w:val="24"/>
        </w:rPr>
        <w:t>8</w:t>
      </w:r>
      <w:r w:rsidRPr="00BD6196">
        <w:rPr>
          <w:rFonts w:ascii="Arial" w:hAnsi="Arial" w:cs="Arial"/>
          <w:sz w:val="24"/>
        </w:rPr>
        <w:t>/1</w:t>
      </w:r>
      <w:r w:rsidR="00F14C28">
        <w:rPr>
          <w:rFonts w:ascii="Arial" w:hAnsi="Arial" w:cs="Arial"/>
          <w:sz w:val="24"/>
        </w:rPr>
        <w:t>9</w:t>
      </w:r>
      <w:r w:rsidRPr="00BD6196">
        <w:rPr>
          <w:rFonts w:ascii="Arial" w:hAnsi="Arial" w:cs="Arial"/>
          <w:sz w:val="24"/>
        </w:rPr>
        <w:t xml:space="preserve">. </w:t>
      </w:r>
      <w:r w:rsidR="006B64DA" w:rsidRPr="00BD6196">
        <w:rPr>
          <w:rFonts w:ascii="Arial" w:hAnsi="Arial" w:cs="Arial"/>
          <w:sz w:val="24"/>
        </w:rPr>
        <w:t xml:space="preserve">2014/15 is held as the base year, 2014/15 index = 100. </w:t>
      </w:r>
    </w:p>
    <w:p w14:paraId="53223861" w14:textId="77777777" w:rsidR="00A001EA" w:rsidRDefault="00A001EA" w:rsidP="00126EB2">
      <w:pPr>
        <w:spacing w:after="0" w:line="276" w:lineRule="auto"/>
        <w:jc w:val="center"/>
        <w:rPr>
          <w:rFonts w:ascii="Arial" w:hAnsi="Arial" w:cs="Arial"/>
          <w:sz w:val="24"/>
          <w:u w:val="single"/>
        </w:rPr>
      </w:pPr>
    </w:p>
    <w:p w14:paraId="6980A575" w14:textId="1048C7B6" w:rsidR="007E7C9F" w:rsidRPr="00BD6196" w:rsidRDefault="00BD6196" w:rsidP="00126EB2">
      <w:pPr>
        <w:spacing w:after="0" w:line="276" w:lineRule="auto"/>
        <w:jc w:val="center"/>
        <w:rPr>
          <w:rFonts w:ascii="Arial" w:hAnsi="Arial" w:cs="Arial"/>
          <w:sz w:val="24"/>
        </w:rPr>
      </w:pPr>
      <w:r w:rsidRPr="00BD6196">
        <w:rPr>
          <w:rFonts w:ascii="Arial" w:hAnsi="Arial" w:cs="Arial"/>
          <w:sz w:val="24"/>
          <w:u w:val="single"/>
        </w:rPr>
        <w:t>Table 1</w:t>
      </w:r>
      <w:r>
        <w:rPr>
          <w:rFonts w:ascii="Arial" w:hAnsi="Arial" w:cs="Arial"/>
          <w:sz w:val="24"/>
          <w:u w:val="single"/>
        </w:rPr>
        <w:t>1</w:t>
      </w:r>
      <w:r w:rsidRPr="00BD6196">
        <w:rPr>
          <w:rFonts w:ascii="Arial" w:hAnsi="Arial" w:cs="Arial"/>
          <w:sz w:val="24"/>
          <w:u w:val="single"/>
        </w:rPr>
        <w:t xml:space="preserve">: NHS Provider </w:t>
      </w:r>
      <w:r w:rsidR="00F14C28">
        <w:rPr>
          <w:rFonts w:ascii="Arial" w:hAnsi="Arial" w:cs="Arial"/>
          <w:sz w:val="24"/>
          <w:u w:val="single"/>
        </w:rPr>
        <w:t xml:space="preserve">cost </w:t>
      </w:r>
      <w:r w:rsidR="00D633E8">
        <w:rPr>
          <w:rFonts w:ascii="Arial" w:hAnsi="Arial" w:cs="Arial"/>
          <w:sz w:val="24"/>
          <w:u w:val="single"/>
        </w:rPr>
        <w:t>inflation</w:t>
      </w:r>
      <w:r>
        <w:rPr>
          <w:rFonts w:ascii="Arial" w:hAnsi="Arial" w:cs="Arial"/>
          <w:sz w:val="24"/>
          <w:u w:val="single"/>
        </w:rPr>
        <w:t xml:space="preserve"> index</w:t>
      </w:r>
      <w:r w:rsidR="00451BC7">
        <w:rPr>
          <w:rFonts w:ascii="Arial" w:hAnsi="Arial" w:cs="Arial"/>
          <w:sz w:val="24"/>
          <w:u w:val="single"/>
        </w:rPr>
        <w:t xml:space="preserve"> 2018/19</w:t>
      </w:r>
    </w:p>
    <w:tbl>
      <w:tblPr>
        <w:tblStyle w:val="TableGrid"/>
        <w:tblW w:w="0" w:type="auto"/>
        <w:jc w:val="center"/>
        <w:tblLook w:val="04A0" w:firstRow="1" w:lastRow="0" w:firstColumn="1" w:lastColumn="0" w:noHBand="0" w:noVBand="1"/>
      </w:tblPr>
      <w:tblGrid>
        <w:gridCol w:w="5524"/>
        <w:gridCol w:w="1004"/>
        <w:gridCol w:w="1276"/>
        <w:gridCol w:w="1212"/>
      </w:tblGrid>
      <w:tr w:rsidR="007E7C9F" w:rsidRPr="00BD6196" w14:paraId="05E8DC5B" w14:textId="77777777" w:rsidTr="00E50B89">
        <w:trPr>
          <w:trHeight w:val="518"/>
          <w:jc w:val="center"/>
        </w:trPr>
        <w:tc>
          <w:tcPr>
            <w:tcW w:w="5524" w:type="dxa"/>
            <w:noWrap/>
            <w:hideMark/>
          </w:tcPr>
          <w:p w14:paraId="4AB2685B" w14:textId="3A2E5185" w:rsidR="007E7C9F" w:rsidRPr="00BD6196" w:rsidRDefault="007E7C9F" w:rsidP="00BD6196">
            <w:pPr>
              <w:spacing w:line="276" w:lineRule="auto"/>
              <w:rPr>
                <w:rFonts w:ascii="Arial" w:hAnsi="Arial" w:cs="Arial"/>
                <w:b/>
                <w:bCs/>
              </w:rPr>
            </w:pPr>
            <w:r w:rsidRPr="00BD6196">
              <w:rPr>
                <w:rFonts w:ascii="Arial" w:hAnsi="Arial" w:cs="Arial"/>
                <w:b/>
                <w:bCs/>
              </w:rPr>
              <w:t xml:space="preserve">Item in </w:t>
            </w:r>
            <w:r w:rsidR="00F321B3" w:rsidRPr="00BD6196">
              <w:rPr>
                <w:rFonts w:ascii="Arial" w:hAnsi="Arial" w:cs="Arial"/>
                <w:b/>
                <w:bCs/>
              </w:rPr>
              <w:t xml:space="preserve">NHS Provider </w:t>
            </w:r>
            <w:r w:rsidRPr="00BD6196">
              <w:rPr>
                <w:rFonts w:ascii="Arial" w:hAnsi="Arial" w:cs="Arial"/>
                <w:b/>
                <w:bCs/>
              </w:rPr>
              <w:t>Accounts</w:t>
            </w:r>
            <w:r w:rsidR="00F321B3" w:rsidRPr="00BD6196">
              <w:rPr>
                <w:rFonts w:ascii="Arial" w:hAnsi="Arial" w:cs="Arial"/>
                <w:b/>
                <w:bCs/>
              </w:rPr>
              <w:t xml:space="preserve"> 20</w:t>
            </w:r>
            <w:r w:rsidR="0050412C">
              <w:rPr>
                <w:rFonts w:ascii="Arial" w:hAnsi="Arial" w:cs="Arial"/>
                <w:b/>
                <w:bCs/>
              </w:rPr>
              <w:t>18</w:t>
            </w:r>
            <w:r w:rsidR="00F321B3" w:rsidRPr="00BD6196">
              <w:rPr>
                <w:rFonts w:ascii="Arial" w:hAnsi="Arial" w:cs="Arial"/>
                <w:b/>
                <w:bCs/>
              </w:rPr>
              <w:t>/1</w:t>
            </w:r>
            <w:r w:rsidR="0050412C">
              <w:rPr>
                <w:rFonts w:ascii="Arial" w:hAnsi="Arial" w:cs="Arial"/>
                <w:b/>
                <w:bCs/>
              </w:rPr>
              <w:t>9</w:t>
            </w:r>
          </w:p>
        </w:tc>
        <w:tc>
          <w:tcPr>
            <w:tcW w:w="1004" w:type="dxa"/>
            <w:noWrap/>
            <w:hideMark/>
          </w:tcPr>
          <w:p w14:paraId="395A3636" w14:textId="10B78278" w:rsidR="007E7C9F" w:rsidRPr="00BD6196" w:rsidRDefault="007E7C9F" w:rsidP="00BD6196">
            <w:pPr>
              <w:spacing w:line="276" w:lineRule="auto"/>
              <w:rPr>
                <w:rFonts w:ascii="Arial" w:hAnsi="Arial" w:cs="Arial"/>
                <w:b/>
                <w:bCs/>
              </w:rPr>
            </w:pPr>
            <w:r w:rsidRPr="00BD6196">
              <w:rPr>
                <w:rFonts w:ascii="Arial" w:hAnsi="Arial" w:cs="Arial"/>
                <w:b/>
                <w:bCs/>
              </w:rPr>
              <w:t>%of spend</w:t>
            </w:r>
          </w:p>
        </w:tc>
        <w:tc>
          <w:tcPr>
            <w:tcW w:w="1276" w:type="dxa"/>
            <w:noWrap/>
            <w:hideMark/>
          </w:tcPr>
          <w:p w14:paraId="54DE9693" w14:textId="1ED5D666" w:rsidR="007E7C9F" w:rsidRPr="00BD6196" w:rsidRDefault="007E7C9F" w:rsidP="00BD6196">
            <w:pPr>
              <w:spacing w:line="276" w:lineRule="auto"/>
              <w:rPr>
                <w:rFonts w:ascii="Arial" w:hAnsi="Arial" w:cs="Arial"/>
                <w:b/>
                <w:bCs/>
              </w:rPr>
            </w:pPr>
            <w:r w:rsidRPr="00BD6196">
              <w:rPr>
                <w:rFonts w:ascii="Arial" w:hAnsi="Arial" w:cs="Arial"/>
                <w:b/>
                <w:bCs/>
              </w:rPr>
              <w:t>Deflators</w:t>
            </w:r>
          </w:p>
        </w:tc>
        <w:tc>
          <w:tcPr>
            <w:tcW w:w="1212" w:type="dxa"/>
            <w:noWrap/>
            <w:hideMark/>
          </w:tcPr>
          <w:p w14:paraId="7A4360E3" w14:textId="64E4316E" w:rsidR="007E7C9F" w:rsidRPr="00BD6196" w:rsidRDefault="00E50B89" w:rsidP="00BD6196">
            <w:pPr>
              <w:spacing w:line="276" w:lineRule="auto"/>
              <w:rPr>
                <w:rFonts w:ascii="Arial" w:hAnsi="Arial" w:cs="Arial"/>
                <w:b/>
                <w:bCs/>
              </w:rPr>
            </w:pPr>
            <w:r>
              <w:rPr>
                <w:rFonts w:ascii="Arial" w:hAnsi="Arial" w:cs="Arial"/>
                <w:b/>
                <w:bCs/>
              </w:rPr>
              <w:t>Inflation</w:t>
            </w:r>
            <w:r w:rsidR="007E7C9F" w:rsidRPr="00BD6196">
              <w:rPr>
                <w:rFonts w:ascii="Arial" w:hAnsi="Arial" w:cs="Arial"/>
                <w:b/>
                <w:bCs/>
              </w:rPr>
              <w:t xml:space="preserve"> index</w:t>
            </w:r>
          </w:p>
        </w:tc>
      </w:tr>
      <w:tr w:rsidR="00B777CD" w:rsidRPr="00BD6196" w14:paraId="50C838B3" w14:textId="77777777" w:rsidTr="00E50B89">
        <w:trPr>
          <w:trHeight w:val="296"/>
          <w:jc w:val="center"/>
        </w:trPr>
        <w:tc>
          <w:tcPr>
            <w:tcW w:w="5524" w:type="dxa"/>
            <w:noWrap/>
            <w:hideMark/>
          </w:tcPr>
          <w:p w14:paraId="515A3426" w14:textId="77777777" w:rsidR="00B777CD" w:rsidRPr="00BD6196" w:rsidRDefault="00B777CD" w:rsidP="00B777CD">
            <w:pPr>
              <w:spacing w:line="276" w:lineRule="auto"/>
              <w:rPr>
                <w:rFonts w:ascii="Arial" w:hAnsi="Arial" w:cs="Arial"/>
              </w:rPr>
            </w:pPr>
            <w:r w:rsidRPr="00BD6196">
              <w:rPr>
                <w:rFonts w:ascii="Arial" w:hAnsi="Arial" w:cs="Arial"/>
              </w:rPr>
              <w:t>Purchase of healthcare from NHS and DHSC bodies</w:t>
            </w:r>
          </w:p>
        </w:tc>
        <w:tc>
          <w:tcPr>
            <w:tcW w:w="1004" w:type="dxa"/>
            <w:noWrap/>
            <w:hideMark/>
          </w:tcPr>
          <w:p w14:paraId="0C8F6C47" w14:textId="05F0D2BC" w:rsidR="00B777CD" w:rsidRPr="00B777CD" w:rsidRDefault="00B777CD" w:rsidP="00B777CD">
            <w:pPr>
              <w:spacing w:line="276" w:lineRule="auto"/>
              <w:rPr>
                <w:rFonts w:ascii="Arial" w:hAnsi="Arial" w:cs="Arial"/>
              </w:rPr>
            </w:pPr>
            <w:r w:rsidRPr="00B777CD">
              <w:rPr>
                <w:rFonts w:ascii="Arial" w:hAnsi="Arial" w:cs="Arial"/>
              </w:rPr>
              <w:t>0.10%</w:t>
            </w:r>
          </w:p>
        </w:tc>
        <w:tc>
          <w:tcPr>
            <w:tcW w:w="1276" w:type="dxa"/>
            <w:noWrap/>
            <w:hideMark/>
          </w:tcPr>
          <w:p w14:paraId="7539846E" w14:textId="02D1267B"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3A9A6958" w14:textId="0C855427"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5D7BCE4A" w14:textId="77777777" w:rsidTr="00E50B89">
        <w:trPr>
          <w:trHeight w:val="296"/>
          <w:jc w:val="center"/>
        </w:trPr>
        <w:tc>
          <w:tcPr>
            <w:tcW w:w="5524" w:type="dxa"/>
            <w:noWrap/>
            <w:hideMark/>
          </w:tcPr>
          <w:p w14:paraId="2C33FBCD" w14:textId="47EE85EF" w:rsidR="00B777CD" w:rsidRPr="00BD6196" w:rsidRDefault="00B777CD" w:rsidP="00B777CD">
            <w:pPr>
              <w:spacing w:line="276" w:lineRule="auto"/>
              <w:rPr>
                <w:rFonts w:ascii="Arial" w:hAnsi="Arial" w:cs="Arial"/>
              </w:rPr>
            </w:pPr>
            <w:r w:rsidRPr="00BD6196">
              <w:rPr>
                <w:rFonts w:ascii="Arial" w:hAnsi="Arial" w:cs="Arial"/>
              </w:rPr>
              <w:t>Purchase of healthcare from non-NHS and non-DHSC</w:t>
            </w:r>
          </w:p>
        </w:tc>
        <w:tc>
          <w:tcPr>
            <w:tcW w:w="1004" w:type="dxa"/>
            <w:noWrap/>
            <w:hideMark/>
          </w:tcPr>
          <w:p w14:paraId="614FB9F8" w14:textId="20738769" w:rsidR="00B777CD" w:rsidRPr="00B777CD" w:rsidRDefault="00B777CD" w:rsidP="00B777CD">
            <w:pPr>
              <w:spacing w:line="276" w:lineRule="auto"/>
              <w:rPr>
                <w:rFonts w:ascii="Arial" w:hAnsi="Arial" w:cs="Arial"/>
              </w:rPr>
            </w:pPr>
            <w:r w:rsidRPr="00B777CD">
              <w:rPr>
                <w:rFonts w:ascii="Arial" w:hAnsi="Arial" w:cs="Arial"/>
              </w:rPr>
              <w:t>1.56%</w:t>
            </w:r>
          </w:p>
        </w:tc>
        <w:tc>
          <w:tcPr>
            <w:tcW w:w="1276" w:type="dxa"/>
            <w:noWrap/>
            <w:hideMark/>
          </w:tcPr>
          <w:p w14:paraId="4A9E3868" w14:textId="0B1E8603"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32E6DB67" w14:textId="22BA1619"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7D8EDF8C" w14:textId="77777777" w:rsidTr="00E50B89">
        <w:trPr>
          <w:trHeight w:val="296"/>
          <w:jc w:val="center"/>
        </w:trPr>
        <w:tc>
          <w:tcPr>
            <w:tcW w:w="5524" w:type="dxa"/>
            <w:noWrap/>
            <w:hideMark/>
          </w:tcPr>
          <w:p w14:paraId="71A5DED9" w14:textId="77777777" w:rsidR="00B777CD" w:rsidRPr="00BD6196" w:rsidRDefault="00B777CD" w:rsidP="00B777CD">
            <w:pPr>
              <w:spacing w:line="276" w:lineRule="auto"/>
              <w:rPr>
                <w:rFonts w:ascii="Arial" w:hAnsi="Arial" w:cs="Arial"/>
              </w:rPr>
            </w:pPr>
            <w:r w:rsidRPr="00BD6196">
              <w:rPr>
                <w:rFonts w:ascii="Arial" w:hAnsi="Arial" w:cs="Arial"/>
              </w:rPr>
              <w:t>Purchase of social care</w:t>
            </w:r>
          </w:p>
        </w:tc>
        <w:tc>
          <w:tcPr>
            <w:tcW w:w="1004" w:type="dxa"/>
            <w:noWrap/>
            <w:hideMark/>
          </w:tcPr>
          <w:p w14:paraId="03630F3D" w14:textId="726C4397" w:rsidR="00B777CD" w:rsidRPr="00B777CD" w:rsidRDefault="00B777CD" w:rsidP="00B777CD">
            <w:pPr>
              <w:spacing w:line="276" w:lineRule="auto"/>
              <w:rPr>
                <w:rFonts w:ascii="Arial" w:hAnsi="Arial" w:cs="Arial"/>
              </w:rPr>
            </w:pPr>
            <w:r w:rsidRPr="00B777CD">
              <w:rPr>
                <w:rFonts w:ascii="Arial" w:hAnsi="Arial" w:cs="Arial"/>
              </w:rPr>
              <w:t>0.22%</w:t>
            </w:r>
          </w:p>
        </w:tc>
        <w:tc>
          <w:tcPr>
            <w:tcW w:w="1276" w:type="dxa"/>
            <w:noWrap/>
            <w:hideMark/>
          </w:tcPr>
          <w:p w14:paraId="0A4C59ED" w14:textId="3E69F7FC"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2E228681" w14:textId="031BB982"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6881AFD9" w14:textId="77777777" w:rsidTr="00E50B89">
        <w:trPr>
          <w:trHeight w:val="296"/>
          <w:jc w:val="center"/>
        </w:trPr>
        <w:tc>
          <w:tcPr>
            <w:tcW w:w="5524" w:type="dxa"/>
            <w:noWrap/>
            <w:hideMark/>
          </w:tcPr>
          <w:p w14:paraId="6D22F225" w14:textId="77777777" w:rsidR="00B777CD" w:rsidRPr="00BD6196" w:rsidRDefault="00B777CD" w:rsidP="00B777CD">
            <w:pPr>
              <w:spacing w:line="276" w:lineRule="auto"/>
              <w:rPr>
                <w:rFonts w:ascii="Arial" w:hAnsi="Arial" w:cs="Arial"/>
              </w:rPr>
            </w:pPr>
            <w:r w:rsidRPr="00BD6196">
              <w:rPr>
                <w:rFonts w:ascii="Arial" w:hAnsi="Arial" w:cs="Arial"/>
              </w:rPr>
              <w:t>Employee expenses - staff (including executive directors)</w:t>
            </w:r>
          </w:p>
        </w:tc>
        <w:tc>
          <w:tcPr>
            <w:tcW w:w="1004" w:type="dxa"/>
            <w:noWrap/>
            <w:hideMark/>
          </w:tcPr>
          <w:p w14:paraId="70B0720B" w14:textId="28FDBBFB" w:rsidR="00B777CD" w:rsidRPr="00B777CD" w:rsidRDefault="00B777CD" w:rsidP="00B777CD">
            <w:pPr>
              <w:spacing w:line="276" w:lineRule="auto"/>
              <w:rPr>
                <w:rFonts w:ascii="Arial" w:hAnsi="Arial" w:cs="Arial"/>
              </w:rPr>
            </w:pPr>
            <w:r w:rsidRPr="00B777CD">
              <w:rPr>
                <w:rFonts w:ascii="Arial" w:hAnsi="Arial" w:cs="Arial"/>
              </w:rPr>
              <w:t>63.75%</w:t>
            </w:r>
          </w:p>
        </w:tc>
        <w:tc>
          <w:tcPr>
            <w:tcW w:w="1276" w:type="dxa"/>
            <w:noWrap/>
            <w:hideMark/>
          </w:tcPr>
          <w:p w14:paraId="3C1412E5" w14:textId="7EC74334" w:rsidR="00B777CD" w:rsidRPr="00B777CD" w:rsidRDefault="00B777CD" w:rsidP="00B777CD">
            <w:pPr>
              <w:spacing w:line="276" w:lineRule="auto"/>
              <w:rPr>
                <w:rFonts w:ascii="Arial" w:hAnsi="Arial" w:cs="Arial"/>
              </w:rPr>
            </w:pPr>
            <w:r w:rsidRPr="00B777CD">
              <w:rPr>
                <w:rFonts w:ascii="Arial" w:hAnsi="Arial" w:cs="Arial"/>
              </w:rPr>
              <w:t>2.24%</w:t>
            </w:r>
          </w:p>
        </w:tc>
        <w:tc>
          <w:tcPr>
            <w:tcW w:w="1212" w:type="dxa"/>
            <w:hideMark/>
          </w:tcPr>
          <w:p w14:paraId="6925C19E" w14:textId="2DCFCBD7" w:rsidR="00B777CD" w:rsidRPr="00B777CD" w:rsidRDefault="00B777CD" w:rsidP="00B777CD">
            <w:pPr>
              <w:spacing w:line="276" w:lineRule="auto"/>
              <w:rPr>
                <w:rFonts w:ascii="Arial" w:hAnsi="Arial" w:cs="Arial"/>
              </w:rPr>
            </w:pPr>
            <w:r w:rsidRPr="00B777CD">
              <w:rPr>
                <w:rFonts w:ascii="Arial" w:hAnsi="Arial" w:cs="Arial"/>
              </w:rPr>
              <w:t>105.97</w:t>
            </w:r>
          </w:p>
        </w:tc>
      </w:tr>
      <w:tr w:rsidR="00B777CD" w:rsidRPr="00BD6196" w14:paraId="465E4FFA" w14:textId="77777777" w:rsidTr="00E50B89">
        <w:trPr>
          <w:trHeight w:val="296"/>
          <w:jc w:val="center"/>
        </w:trPr>
        <w:tc>
          <w:tcPr>
            <w:tcW w:w="5524" w:type="dxa"/>
            <w:noWrap/>
            <w:hideMark/>
          </w:tcPr>
          <w:p w14:paraId="524415C9" w14:textId="77777777" w:rsidR="00B777CD" w:rsidRPr="00BD6196" w:rsidRDefault="00B777CD" w:rsidP="00B777CD">
            <w:pPr>
              <w:spacing w:line="276" w:lineRule="auto"/>
              <w:rPr>
                <w:rFonts w:ascii="Arial" w:hAnsi="Arial" w:cs="Arial"/>
              </w:rPr>
            </w:pPr>
            <w:r w:rsidRPr="00BD6196">
              <w:rPr>
                <w:rFonts w:ascii="Arial" w:hAnsi="Arial" w:cs="Arial"/>
              </w:rPr>
              <w:t>Non-executive directors</w:t>
            </w:r>
          </w:p>
        </w:tc>
        <w:tc>
          <w:tcPr>
            <w:tcW w:w="1004" w:type="dxa"/>
            <w:noWrap/>
            <w:hideMark/>
          </w:tcPr>
          <w:p w14:paraId="1904A6D3" w14:textId="00275095" w:rsidR="00B777CD" w:rsidRPr="00B777CD" w:rsidRDefault="00B777CD" w:rsidP="00B777CD">
            <w:pPr>
              <w:spacing w:line="276" w:lineRule="auto"/>
              <w:rPr>
                <w:rFonts w:ascii="Arial" w:hAnsi="Arial" w:cs="Arial"/>
              </w:rPr>
            </w:pPr>
            <w:r w:rsidRPr="00B777CD">
              <w:rPr>
                <w:rFonts w:ascii="Arial" w:hAnsi="Arial" w:cs="Arial"/>
              </w:rPr>
              <w:t>0.03%</w:t>
            </w:r>
          </w:p>
        </w:tc>
        <w:tc>
          <w:tcPr>
            <w:tcW w:w="1276" w:type="dxa"/>
            <w:noWrap/>
            <w:hideMark/>
          </w:tcPr>
          <w:p w14:paraId="6280A838" w14:textId="7F84BF17" w:rsidR="00B777CD" w:rsidRPr="00B777CD" w:rsidRDefault="00B777CD" w:rsidP="00B777CD">
            <w:pPr>
              <w:spacing w:line="276" w:lineRule="auto"/>
              <w:rPr>
                <w:rFonts w:ascii="Arial" w:hAnsi="Arial" w:cs="Arial"/>
              </w:rPr>
            </w:pPr>
            <w:r w:rsidRPr="00B777CD">
              <w:rPr>
                <w:rFonts w:ascii="Arial" w:hAnsi="Arial" w:cs="Arial"/>
              </w:rPr>
              <w:t>2.24%</w:t>
            </w:r>
          </w:p>
        </w:tc>
        <w:tc>
          <w:tcPr>
            <w:tcW w:w="1212" w:type="dxa"/>
            <w:hideMark/>
          </w:tcPr>
          <w:p w14:paraId="7CC255B1" w14:textId="0130AD1E" w:rsidR="00B777CD" w:rsidRPr="00B777CD" w:rsidRDefault="00B777CD" w:rsidP="00B777CD">
            <w:pPr>
              <w:spacing w:line="276" w:lineRule="auto"/>
              <w:rPr>
                <w:rFonts w:ascii="Arial" w:hAnsi="Arial" w:cs="Arial"/>
              </w:rPr>
            </w:pPr>
            <w:r w:rsidRPr="00B777CD">
              <w:rPr>
                <w:rFonts w:ascii="Arial" w:hAnsi="Arial" w:cs="Arial"/>
              </w:rPr>
              <w:t>105.97</w:t>
            </w:r>
          </w:p>
        </w:tc>
      </w:tr>
      <w:tr w:rsidR="00B777CD" w:rsidRPr="00BD6196" w14:paraId="2AA54A2E" w14:textId="77777777" w:rsidTr="00E50B89">
        <w:trPr>
          <w:trHeight w:val="296"/>
          <w:jc w:val="center"/>
        </w:trPr>
        <w:tc>
          <w:tcPr>
            <w:tcW w:w="5524" w:type="dxa"/>
            <w:noWrap/>
            <w:hideMark/>
          </w:tcPr>
          <w:p w14:paraId="2B2EFA38" w14:textId="77777777" w:rsidR="00B777CD" w:rsidRPr="00BD6196" w:rsidRDefault="00B777CD" w:rsidP="00B777CD">
            <w:pPr>
              <w:spacing w:line="276" w:lineRule="auto"/>
              <w:rPr>
                <w:rFonts w:ascii="Arial" w:hAnsi="Arial" w:cs="Arial"/>
              </w:rPr>
            </w:pPr>
            <w:r w:rsidRPr="00BD6196">
              <w:rPr>
                <w:rFonts w:ascii="Arial" w:hAnsi="Arial" w:cs="Arial"/>
              </w:rPr>
              <w:t>Supplies and services - clinical</w:t>
            </w:r>
          </w:p>
        </w:tc>
        <w:tc>
          <w:tcPr>
            <w:tcW w:w="1004" w:type="dxa"/>
            <w:noWrap/>
            <w:hideMark/>
          </w:tcPr>
          <w:p w14:paraId="44420C5D" w14:textId="6CBD75D1" w:rsidR="00B777CD" w:rsidRPr="00B777CD" w:rsidRDefault="00B777CD" w:rsidP="00B777CD">
            <w:pPr>
              <w:spacing w:line="276" w:lineRule="auto"/>
              <w:rPr>
                <w:rFonts w:ascii="Arial" w:hAnsi="Arial" w:cs="Arial"/>
              </w:rPr>
            </w:pPr>
            <w:r w:rsidRPr="00B777CD">
              <w:rPr>
                <w:rFonts w:ascii="Arial" w:hAnsi="Arial" w:cs="Arial"/>
              </w:rPr>
              <w:t>7.67%</w:t>
            </w:r>
          </w:p>
        </w:tc>
        <w:tc>
          <w:tcPr>
            <w:tcW w:w="1276" w:type="dxa"/>
            <w:noWrap/>
            <w:hideMark/>
          </w:tcPr>
          <w:p w14:paraId="34E11358" w14:textId="180F3B08" w:rsidR="00B777CD" w:rsidRPr="00B777CD" w:rsidRDefault="00B777CD" w:rsidP="00B777CD">
            <w:pPr>
              <w:spacing w:line="276" w:lineRule="auto"/>
              <w:rPr>
                <w:rFonts w:ascii="Arial" w:hAnsi="Arial" w:cs="Arial"/>
              </w:rPr>
            </w:pPr>
            <w:r w:rsidRPr="00B777CD">
              <w:rPr>
                <w:rFonts w:ascii="Arial" w:hAnsi="Arial" w:cs="Arial"/>
              </w:rPr>
              <w:t>1.07%</w:t>
            </w:r>
          </w:p>
        </w:tc>
        <w:tc>
          <w:tcPr>
            <w:tcW w:w="1212" w:type="dxa"/>
            <w:hideMark/>
          </w:tcPr>
          <w:p w14:paraId="39AFDC5A" w14:textId="2ADE1397" w:rsidR="00B777CD" w:rsidRPr="00B777CD" w:rsidRDefault="00B777CD" w:rsidP="00B777CD">
            <w:pPr>
              <w:spacing w:line="276" w:lineRule="auto"/>
              <w:rPr>
                <w:rFonts w:ascii="Arial" w:hAnsi="Arial" w:cs="Arial"/>
              </w:rPr>
            </w:pPr>
            <w:r w:rsidRPr="00B777CD">
              <w:rPr>
                <w:rFonts w:ascii="Arial" w:hAnsi="Arial" w:cs="Arial"/>
              </w:rPr>
              <w:t>103.21</w:t>
            </w:r>
          </w:p>
        </w:tc>
      </w:tr>
      <w:tr w:rsidR="00B777CD" w:rsidRPr="00BD6196" w14:paraId="1013D24C" w14:textId="77777777" w:rsidTr="00E50B89">
        <w:trPr>
          <w:trHeight w:val="296"/>
          <w:jc w:val="center"/>
        </w:trPr>
        <w:tc>
          <w:tcPr>
            <w:tcW w:w="5524" w:type="dxa"/>
            <w:noWrap/>
            <w:hideMark/>
          </w:tcPr>
          <w:p w14:paraId="221B8641" w14:textId="4AA8E19D" w:rsidR="00B777CD" w:rsidRPr="00BD6196" w:rsidRDefault="00B777CD" w:rsidP="00B777CD">
            <w:pPr>
              <w:spacing w:line="276" w:lineRule="auto"/>
              <w:rPr>
                <w:rFonts w:ascii="Arial" w:hAnsi="Arial" w:cs="Arial"/>
              </w:rPr>
            </w:pPr>
            <w:r w:rsidRPr="00BD6196">
              <w:rPr>
                <w:rFonts w:ascii="Arial" w:hAnsi="Arial" w:cs="Arial"/>
              </w:rPr>
              <w:t>Supplies and services - general</w:t>
            </w:r>
          </w:p>
        </w:tc>
        <w:tc>
          <w:tcPr>
            <w:tcW w:w="1004" w:type="dxa"/>
            <w:noWrap/>
            <w:hideMark/>
          </w:tcPr>
          <w:p w14:paraId="14FA204A" w14:textId="7FFE8FB6" w:rsidR="00B777CD" w:rsidRPr="00B777CD" w:rsidRDefault="00B777CD" w:rsidP="00B777CD">
            <w:pPr>
              <w:spacing w:line="276" w:lineRule="auto"/>
              <w:rPr>
                <w:rFonts w:ascii="Arial" w:hAnsi="Arial" w:cs="Arial"/>
              </w:rPr>
            </w:pPr>
            <w:r w:rsidRPr="00B777CD">
              <w:rPr>
                <w:rFonts w:ascii="Arial" w:hAnsi="Arial" w:cs="Arial"/>
              </w:rPr>
              <w:t>1.68%</w:t>
            </w:r>
          </w:p>
        </w:tc>
        <w:tc>
          <w:tcPr>
            <w:tcW w:w="1276" w:type="dxa"/>
            <w:noWrap/>
            <w:hideMark/>
          </w:tcPr>
          <w:p w14:paraId="5AB584F5" w14:textId="0FA751F6" w:rsidR="00B777CD" w:rsidRPr="00B777CD" w:rsidRDefault="00B777CD" w:rsidP="00B777CD">
            <w:pPr>
              <w:spacing w:line="276" w:lineRule="auto"/>
              <w:rPr>
                <w:rFonts w:ascii="Arial" w:hAnsi="Arial" w:cs="Arial"/>
              </w:rPr>
            </w:pPr>
            <w:r w:rsidRPr="00B777CD">
              <w:rPr>
                <w:rFonts w:ascii="Arial" w:hAnsi="Arial" w:cs="Arial"/>
              </w:rPr>
              <w:t>1.46%</w:t>
            </w:r>
          </w:p>
        </w:tc>
        <w:tc>
          <w:tcPr>
            <w:tcW w:w="1212" w:type="dxa"/>
            <w:hideMark/>
          </w:tcPr>
          <w:p w14:paraId="00BA8F30" w14:textId="16A345B0" w:rsidR="00B777CD" w:rsidRPr="00B777CD" w:rsidRDefault="00B777CD" w:rsidP="00B777CD">
            <w:pPr>
              <w:spacing w:line="276" w:lineRule="auto"/>
              <w:rPr>
                <w:rFonts w:ascii="Arial" w:hAnsi="Arial" w:cs="Arial"/>
              </w:rPr>
            </w:pPr>
            <w:r w:rsidRPr="00B777CD">
              <w:rPr>
                <w:rFonts w:ascii="Arial" w:hAnsi="Arial" w:cs="Arial"/>
              </w:rPr>
              <w:t>100.84</w:t>
            </w:r>
          </w:p>
        </w:tc>
      </w:tr>
      <w:tr w:rsidR="00B777CD" w:rsidRPr="00BD6196" w14:paraId="4A7FF8D5" w14:textId="77777777" w:rsidTr="00E50B89">
        <w:trPr>
          <w:trHeight w:val="296"/>
          <w:jc w:val="center"/>
        </w:trPr>
        <w:tc>
          <w:tcPr>
            <w:tcW w:w="5524" w:type="dxa"/>
            <w:noWrap/>
            <w:hideMark/>
          </w:tcPr>
          <w:p w14:paraId="63776761" w14:textId="77777777" w:rsidR="00B777CD" w:rsidRPr="00BD6196" w:rsidRDefault="00B777CD" w:rsidP="00B777CD">
            <w:pPr>
              <w:spacing w:line="276" w:lineRule="auto"/>
              <w:rPr>
                <w:rFonts w:ascii="Arial" w:hAnsi="Arial" w:cs="Arial"/>
              </w:rPr>
            </w:pPr>
            <w:r w:rsidRPr="00BD6196">
              <w:rPr>
                <w:rFonts w:ascii="Arial" w:hAnsi="Arial" w:cs="Arial"/>
              </w:rPr>
              <w:t>Drug costs</w:t>
            </w:r>
          </w:p>
        </w:tc>
        <w:tc>
          <w:tcPr>
            <w:tcW w:w="1004" w:type="dxa"/>
            <w:noWrap/>
            <w:hideMark/>
          </w:tcPr>
          <w:p w14:paraId="76C5DB4D" w14:textId="129B8D27" w:rsidR="00B777CD" w:rsidRPr="00B777CD" w:rsidRDefault="00B777CD" w:rsidP="00B777CD">
            <w:pPr>
              <w:spacing w:line="276" w:lineRule="auto"/>
              <w:rPr>
                <w:rFonts w:ascii="Arial" w:hAnsi="Arial" w:cs="Arial"/>
              </w:rPr>
            </w:pPr>
            <w:r w:rsidRPr="00B777CD">
              <w:rPr>
                <w:rFonts w:ascii="Arial" w:hAnsi="Arial" w:cs="Arial"/>
              </w:rPr>
              <w:t>8.48%</w:t>
            </w:r>
          </w:p>
        </w:tc>
        <w:tc>
          <w:tcPr>
            <w:tcW w:w="1276" w:type="dxa"/>
            <w:noWrap/>
            <w:hideMark/>
          </w:tcPr>
          <w:p w14:paraId="1F7B0014" w14:textId="5AD53C0C" w:rsidR="00B777CD" w:rsidRPr="00B777CD" w:rsidRDefault="00B777CD" w:rsidP="00B777CD">
            <w:pPr>
              <w:spacing w:line="276" w:lineRule="auto"/>
              <w:rPr>
                <w:rFonts w:ascii="Arial" w:hAnsi="Arial" w:cs="Arial"/>
              </w:rPr>
            </w:pPr>
            <w:r w:rsidRPr="00B777CD">
              <w:rPr>
                <w:rFonts w:ascii="Arial" w:hAnsi="Arial" w:cs="Arial"/>
              </w:rPr>
              <w:t>3.56%</w:t>
            </w:r>
          </w:p>
        </w:tc>
        <w:tc>
          <w:tcPr>
            <w:tcW w:w="1212" w:type="dxa"/>
            <w:hideMark/>
          </w:tcPr>
          <w:p w14:paraId="4CBEB058" w14:textId="21580275" w:rsidR="00B777CD" w:rsidRPr="00B777CD" w:rsidRDefault="00B777CD" w:rsidP="00B777CD">
            <w:pPr>
              <w:spacing w:line="276" w:lineRule="auto"/>
              <w:rPr>
                <w:rFonts w:ascii="Arial" w:hAnsi="Arial" w:cs="Arial"/>
              </w:rPr>
            </w:pPr>
            <w:r w:rsidRPr="00B777CD">
              <w:rPr>
                <w:rFonts w:ascii="Arial" w:hAnsi="Arial" w:cs="Arial"/>
              </w:rPr>
              <w:t>108.79</w:t>
            </w:r>
          </w:p>
        </w:tc>
      </w:tr>
      <w:tr w:rsidR="00B777CD" w:rsidRPr="00BD6196" w14:paraId="7DCAD7DB" w14:textId="77777777" w:rsidTr="00E50B89">
        <w:trPr>
          <w:trHeight w:val="296"/>
          <w:jc w:val="center"/>
        </w:trPr>
        <w:tc>
          <w:tcPr>
            <w:tcW w:w="5524" w:type="dxa"/>
            <w:noWrap/>
            <w:hideMark/>
          </w:tcPr>
          <w:p w14:paraId="2A79ED8E" w14:textId="77777777" w:rsidR="00B777CD" w:rsidRPr="00BD6196" w:rsidRDefault="00B777CD" w:rsidP="00B777CD">
            <w:pPr>
              <w:spacing w:line="276" w:lineRule="auto"/>
              <w:rPr>
                <w:rFonts w:ascii="Arial" w:hAnsi="Arial" w:cs="Arial"/>
              </w:rPr>
            </w:pPr>
            <w:r w:rsidRPr="00BD6196">
              <w:rPr>
                <w:rFonts w:ascii="Arial" w:hAnsi="Arial" w:cs="Arial"/>
              </w:rPr>
              <w:t>Inventories written down</w:t>
            </w:r>
          </w:p>
        </w:tc>
        <w:tc>
          <w:tcPr>
            <w:tcW w:w="1004" w:type="dxa"/>
            <w:noWrap/>
            <w:hideMark/>
          </w:tcPr>
          <w:p w14:paraId="229B22D3" w14:textId="19215D3C" w:rsidR="00B777CD" w:rsidRPr="00B777CD" w:rsidRDefault="00B777CD" w:rsidP="00B777CD">
            <w:pPr>
              <w:spacing w:line="276" w:lineRule="auto"/>
              <w:rPr>
                <w:rFonts w:ascii="Arial" w:hAnsi="Arial" w:cs="Arial"/>
              </w:rPr>
            </w:pPr>
            <w:r w:rsidRPr="00B777CD">
              <w:rPr>
                <w:rFonts w:ascii="Arial" w:hAnsi="Arial" w:cs="Arial"/>
              </w:rPr>
              <w:t>0.01%</w:t>
            </w:r>
          </w:p>
        </w:tc>
        <w:tc>
          <w:tcPr>
            <w:tcW w:w="1276" w:type="dxa"/>
            <w:noWrap/>
            <w:hideMark/>
          </w:tcPr>
          <w:p w14:paraId="3493C202" w14:textId="30028E34"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238699E6" w14:textId="097042C1"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338CB8BC" w14:textId="77777777" w:rsidTr="00E50B89">
        <w:trPr>
          <w:trHeight w:val="296"/>
          <w:jc w:val="center"/>
        </w:trPr>
        <w:tc>
          <w:tcPr>
            <w:tcW w:w="5524" w:type="dxa"/>
            <w:noWrap/>
            <w:hideMark/>
          </w:tcPr>
          <w:p w14:paraId="69C7DB73" w14:textId="77777777" w:rsidR="00B777CD" w:rsidRPr="00BD6196" w:rsidRDefault="00B777CD" w:rsidP="00B777CD">
            <w:pPr>
              <w:spacing w:line="276" w:lineRule="auto"/>
              <w:rPr>
                <w:rFonts w:ascii="Arial" w:hAnsi="Arial" w:cs="Arial"/>
              </w:rPr>
            </w:pPr>
            <w:r w:rsidRPr="00BD6196">
              <w:rPr>
                <w:rFonts w:ascii="Arial" w:hAnsi="Arial" w:cs="Arial"/>
              </w:rPr>
              <w:t>Consultancy costs</w:t>
            </w:r>
          </w:p>
        </w:tc>
        <w:tc>
          <w:tcPr>
            <w:tcW w:w="1004" w:type="dxa"/>
            <w:noWrap/>
            <w:hideMark/>
          </w:tcPr>
          <w:p w14:paraId="333AC463" w14:textId="306EF3DF" w:rsidR="00B777CD" w:rsidRPr="00B777CD" w:rsidRDefault="00B777CD" w:rsidP="00B777CD">
            <w:pPr>
              <w:spacing w:line="276" w:lineRule="auto"/>
              <w:rPr>
                <w:rFonts w:ascii="Arial" w:hAnsi="Arial" w:cs="Arial"/>
              </w:rPr>
            </w:pPr>
            <w:r w:rsidRPr="00B777CD">
              <w:rPr>
                <w:rFonts w:ascii="Arial" w:hAnsi="Arial" w:cs="Arial"/>
              </w:rPr>
              <w:t>0.27%</w:t>
            </w:r>
          </w:p>
        </w:tc>
        <w:tc>
          <w:tcPr>
            <w:tcW w:w="1276" w:type="dxa"/>
            <w:noWrap/>
            <w:hideMark/>
          </w:tcPr>
          <w:p w14:paraId="708CDC3C" w14:textId="14A3D25F"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66E9D491" w14:textId="4C07C394"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200278FB" w14:textId="77777777" w:rsidTr="00E50B89">
        <w:trPr>
          <w:trHeight w:val="296"/>
          <w:jc w:val="center"/>
        </w:trPr>
        <w:tc>
          <w:tcPr>
            <w:tcW w:w="5524" w:type="dxa"/>
            <w:noWrap/>
            <w:hideMark/>
          </w:tcPr>
          <w:p w14:paraId="3897DA04" w14:textId="0C042D66" w:rsidR="00B777CD" w:rsidRPr="00BD6196" w:rsidRDefault="00B777CD" w:rsidP="00B777CD">
            <w:pPr>
              <w:spacing w:line="276" w:lineRule="auto"/>
              <w:rPr>
                <w:rFonts w:ascii="Arial" w:hAnsi="Arial" w:cs="Arial"/>
              </w:rPr>
            </w:pPr>
            <w:r w:rsidRPr="00BD6196">
              <w:rPr>
                <w:rFonts w:ascii="Arial" w:hAnsi="Arial" w:cs="Arial"/>
              </w:rPr>
              <w:t>Establishment</w:t>
            </w:r>
          </w:p>
        </w:tc>
        <w:tc>
          <w:tcPr>
            <w:tcW w:w="1004" w:type="dxa"/>
            <w:noWrap/>
            <w:hideMark/>
          </w:tcPr>
          <w:p w14:paraId="34939D80" w14:textId="11B7CBD9" w:rsidR="00B777CD" w:rsidRPr="00B777CD" w:rsidRDefault="00B777CD" w:rsidP="00B777CD">
            <w:pPr>
              <w:spacing w:line="276" w:lineRule="auto"/>
              <w:rPr>
                <w:rFonts w:ascii="Arial" w:hAnsi="Arial" w:cs="Arial"/>
              </w:rPr>
            </w:pPr>
            <w:r w:rsidRPr="00B777CD">
              <w:rPr>
                <w:rFonts w:ascii="Arial" w:hAnsi="Arial" w:cs="Arial"/>
              </w:rPr>
              <w:t>1.08%</w:t>
            </w:r>
          </w:p>
        </w:tc>
        <w:tc>
          <w:tcPr>
            <w:tcW w:w="1276" w:type="dxa"/>
            <w:noWrap/>
            <w:hideMark/>
          </w:tcPr>
          <w:p w14:paraId="1E0E0D5F" w14:textId="42BB0413" w:rsidR="00B777CD" w:rsidRPr="00B777CD" w:rsidRDefault="00B777CD" w:rsidP="00B777CD">
            <w:pPr>
              <w:spacing w:line="276" w:lineRule="auto"/>
              <w:rPr>
                <w:rFonts w:ascii="Arial" w:hAnsi="Arial" w:cs="Arial"/>
              </w:rPr>
            </w:pPr>
            <w:r w:rsidRPr="00B777CD">
              <w:rPr>
                <w:rFonts w:ascii="Arial" w:hAnsi="Arial" w:cs="Arial"/>
              </w:rPr>
              <w:t>1.89%</w:t>
            </w:r>
          </w:p>
        </w:tc>
        <w:tc>
          <w:tcPr>
            <w:tcW w:w="1212" w:type="dxa"/>
            <w:hideMark/>
          </w:tcPr>
          <w:p w14:paraId="1C23AF22" w14:textId="37079937" w:rsidR="00B777CD" w:rsidRPr="00B777CD" w:rsidRDefault="00B777CD" w:rsidP="00B777CD">
            <w:pPr>
              <w:spacing w:line="276" w:lineRule="auto"/>
              <w:rPr>
                <w:rFonts w:ascii="Arial" w:hAnsi="Arial" w:cs="Arial"/>
              </w:rPr>
            </w:pPr>
            <w:r w:rsidRPr="00B777CD">
              <w:rPr>
                <w:rFonts w:ascii="Arial" w:hAnsi="Arial" w:cs="Arial"/>
              </w:rPr>
              <w:t>104.71</w:t>
            </w:r>
          </w:p>
        </w:tc>
      </w:tr>
      <w:tr w:rsidR="00B777CD" w:rsidRPr="00BD6196" w14:paraId="38B5857D" w14:textId="77777777" w:rsidTr="00E50B89">
        <w:trPr>
          <w:trHeight w:val="296"/>
          <w:jc w:val="center"/>
        </w:trPr>
        <w:tc>
          <w:tcPr>
            <w:tcW w:w="5524" w:type="dxa"/>
            <w:noWrap/>
            <w:hideMark/>
          </w:tcPr>
          <w:p w14:paraId="19E7EF8E" w14:textId="174E69D7" w:rsidR="00B777CD" w:rsidRPr="00BD6196" w:rsidRDefault="00B777CD" w:rsidP="00B777CD">
            <w:pPr>
              <w:spacing w:line="276" w:lineRule="auto"/>
              <w:rPr>
                <w:rFonts w:ascii="Arial" w:hAnsi="Arial" w:cs="Arial"/>
              </w:rPr>
            </w:pPr>
            <w:r w:rsidRPr="00BD6196">
              <w:rPr>
                <w:rFonts w:ascii="Arial" w:hAnsi="Arial" w:cs="Arial"/>
              </w:rPr>
              <w:t>Premises</w:t>
            </w:r>
          </w:p>
        </w:tc>
        <w:tc>
          <w:tcPr>
            <w:tcW w:w="1004" w:type="dxa"/>
            <w:noWrap/>
            <w:hideMark/>
          </w:tcPr>
          <w:p w14:paraId="71DDE12A" w14:textId="07D32C81" w:rsidR="00B777CD" w:rsidRPr="00B777CD" w:rsidRDefault="00B777CD" w:rsidP="00B777CD">
            <w:pPr>
              <w:spacing w:line="276" w:lineRule="auto"/>
              <w:rPr>
                <w:rFonts w:ascii="Arial" w:hAnsi="Arial" w:cs="Arial"/>
              </w:rPr>
            </w:pPr>
            <w:r w:rsidRPr="00B777CD">
              <w:rPr>
                <w:rFonts w:ascii="Arial" w:hAnsi="Arial" w:cs="Arial"/>
              </w:rPr>
              <w:t>3.74%</w:t>
            </w:r>
          </w:p>
        </w:tc>
        <w:tc>
          <w:tcPr>
            <w:tcW w:w="1276" w:type="dxa"/>
            <w:noWrap/>
            <w:hideMark/>
          </w:tcPr>
          <w:p w14:paraId="68140C81" w14:textId="17364F48" w:rsidR="00B777CD" w:rsidRPr="00B777CD" w:rsidRDefault="00B777CD" w:rsidP="00B777CD">
            <w:pPr>
              <w:spacing w:line="276" w:lineRule="auto"/>
              <w:rPr>
                <w:rFonts w:ascii="Arial" w:hAnsi="Arial" w:cs="Arial"/>
              </w:rPr>
            </w:pPr>
            <w:r w:rsidRPr="00B777CD">
              <w:rPr>
                <w:rFonts w:ascii="Arial" w:hAnsi="Arial" w:cs="Arial"/>
              </w:rPr>
              <w:t>3.02%</w:t>
            </w:r>
          </w:p>
        </w:tc>
        <w:tc>
          <w:tcPr>
            <w:tcW w:w="1212" w:type="dxa"/>
            <w:hideMark/>
          </w:tcPr>
          <w:p w14:paraId="6430A1A1" w14:textId="3221494D" w:rsidR="00B777CD" w:rsidRPr="00B777CD" w:rsidRDefault="00B777CD" w:rsidP="00B777CD">
            <w:pPr>
              <w:spacing w:line="276" w:lineRule="auto"/>
              <w:rPr>
                <w:rFonts w:ascii="Arial" w:hAnsi="Arial" w:cs="Arial"/>
              </w:rPr>
            </w:pPr>
            <w:r w:rsidRPr="00B777CD">
              <w:rPr>
                <w:rFonts w:ascii="Arial" w:hAnsi="Arial" w:cs="Arial"/>
              </w:rPr>
              <w:t>105.79</w:t>
            </w:r>
          </w:p>
        </w:tc>
      </w:tr>
      <w:tr w:rsidR="00B777CD" w:rsidRPr="00BD6196" w14:paraId="0397630A" w14:textId="77777777" w:rsidTr="00E50B89">
        <w:trPr>
          <w:trHeight w:val="296"/>
          <w:jc w:val="center"/>
        </w:trPr>
        <w:tc>
          <w:tcPr>
            <w:tcW w:w="5524" w:type="dxa"/>
            <w:noWrap/>
            <w:hideMark/>
          </w:tcPr>
          <w:p w14:paraId="26CEEABF" w14:textId="77777777" w:rsidR="00B777CD" w:rsidRPr="00BD6196" w:rsidRDefault="00B777CD" w:rsidP="00B777CD">
            <w:pPr>
              <w:spacing w:line="276" w:lineRule="auto"/>
              <w:rPr>
                <w:rFonts w:ascii="Arial" w:hAnsi="Arial" w:cs="Arial"/>
              </w:rPr>
            </w:pPr>
            <w:r w:rsidRPr="00BD6196">
              <w:rPr>
                <w:rFonts w:ascii="Arial" w:hAnsi="Arial" w:cs="Arial"/>
              </w:rPr>
              <w:t>Transport (including patient travel)</w:t>
            </w:r>
          </w:p>
        </w:tc>
        <w:tc>
          <w:tcPr>
            <w:tcW w:w="1004" w:type="dxa"/>
            <w:noWrap/>
            <w:hideMark/>
          </w:tcPr>
          <w:p w14:paraId="6B106F29" w14:textId="75A4DD8B" w:rsidR="00B777CD" w:rsidRPr="00B777CD" w:rsidRDefault="00B777CD" w:rsidP="00B777CD">
            <w:pPr>
              <w:spacing w:line="276" w:lineRule="auto"/>
              <w:rPr>
                <w:rFonts w:ascii="Arial" w:hAnsi="Arial" w:cs="Arial"/>
              </w:rPr>
            </w:pPr>
            <w:r w:rsidRPr="00B777CD">
              <w:rPr>
                <w:rFonts w:ascii="Arial" w:hAnsi="Arial" w:cs="Arial"/>
              </w:rPr>
              <w:t>0.82%</w:t>
            </w:r>
          </w:p>
        </w:tc>
        <w:tc>
          <w:tcPr>
            <w:tcW w:w="1276" w:type="dxa"/>
            <w:noWrap/>
            <w:hideMark/>
          </w:tcPr>
          <w:p w14:paraId="70856690" w14:textId="7592619D" w:rsidR="00B777CD" w:rsidRPr="00B777CD" w:rsidRDefault="00B777CD" w:rsidP="00B777CD">
            <w:pPr>
              <w:spacing w:line="276" w:lineRule="auto"/>
              <w:rPr>
                <w:rFonts w:ascii="Arial" w:hAnsi="Arial" w:cs="Arial"/>
              </w:rPr>
            </w:pPr>
            <w:r w:rsidRPr="00B777CD">
              <w:rPr>
                <w:rFonts w:ascii="Arial" w:hAnsi="Arial" w:cs="Arial"/>
              </w:rPr>
              <w:t>3.08%</w:t>
            </w:r>
          </w:p>
        </w:tc>
        <w:tc>
          <w:tcPr>
            <w:tcW w:w="1212" w:type="dxa"/>
            <w:hideMark/>
          </w:tcPr>
          <w:p w14:paraId="48BC8717" w14:textId="245A850D" w:rsidR="00B777CD" w:rsidRPr="00B777CD" w:rsidRDefault="00B777CD" w:rsidP="00B777CD">
            <w:pPr>
              <w:spacing w:line="276" w:lineRule="auto"/>
              <w:rPr>
                <w:rFonts w:ascii="Arial" w:hAnsi="Arial" w:cs="Arial"/>
              </w:rPr>
            </w:pPr>
            <w:r w:rsidRPr="00B777CD">
              <w:rPr>
                <w:rFonts w:ascii="Arial" w:hAnsi="Arial" w:cs="Arial"/>
              </w:rPr>
              <w:t>117.63</w:t>
            </w:r>
          </w:p>
        </w:tc>
      </w:tr>
      <w:tr w:rsidR="00B777CD" w:rsidRPr="00BD6196" w14:paraId="799F7140" w14:textId="77777777" w:rsidTr="00E50B89">
        <w:trPr>
          <w:trHeight w:val="296"/>
          <w:jc w:val="center"/>
        </w:trPr>
        <w:tc>
          <w:tcPr>
            <w:tcW w:w="5524" w:type="dxa"/>
            <w:noWrap/>
            <w:hideMark/>
          </w:tcPr>
          <w:p w14:paraId="61BF1667" w14:textId="77777777" w:rsidR="00B777CD" w:rsidRPr="00BD6196" w:rsidRDefault="00B777CD" w:rsidP="00B777CD">
            <w:pPr>
              <w:spacing w:line="276" w:lineRule="auto"/>
              <w:rPr>
                <w:rFonts w:ascii="Arial" w:hAnsi="Arial" w:cs="Arial"/>
              </w:rPr>
            </w:pPr>
            <w:r w:rsidRPr="00BD6196">
              <w:rPr>
                <w:rFonts w:ascii="Arial" w:hAnsi="Arial" w:cs="Arial"/>
              </w:rPr>
              <w:t>Depreciation on property, plant and equipment</w:t>
            </w:r>
          </w:p>
        </w:tc>
        <w:tc>
          <w:tcPr>
            <w:tcW w:w="1004" w:type="dxa"/>
            <w:noWrap/>
            <w:hideMark/>
          </w:tcPr>
          <w:p w14:paraId="7ACB47DA" w14:textId="3662504B" w:rsidR="00B777CD" w:rsidRPr="00B777CD" w:rsidRDefault="00B777CD" w:rsidP="00B777CD">
            <w:pPr>
              <w:spacing w:line="276" w:lineRule="auto"/>
              <w:rPr>
                <w:rFonts w:ascii="Arial" w:hAnsi="Arial" w:cs="Arial"/>
              </w:rPr>
            </w:pPr>
            <w:r w:rsidRPr="00B777CD">
              <w:rPr>
                <w:rFonts w:ascii="Arial" w:hAnsi="Arial" w:cs="Arial"/>
              </w:rPr>
              <w:t>2.37%</w:t>
            </w:r>
          </w:p>
        </w:tc>
        <w:tc>
          <w:tcPr>
            <w:tcW w:w="1276" w:type="dxa"/>
            <w:noWrap/>
            <w:hideMark/>
          </w:tcPr>
          <w:p w14:paraId="63907F9D" w14:textId="7FD71903" w:rsidR="00B777CD" w:rsidRPr="00B777CD" w:rsidRDefault="00B777CD" w:rsidP="00B777CD">
            <w:pPr>
              <w:spacing w:line="276" w:lineRule="auto"/>
              <w:rPr>
                <w:rFonts w:ascii="Arial" w:hAnsi="Arial" w:cs="Arial"/>
              </w:rPr>
            </w:pPr>
            <w:r w:rsidRPr="00B777CD">
              <w:rPr>
                <w:rFonts w:ascii="Arial" w:hAnsi="Arial" w:cs="Arial"/>
              </w:rPr>
              <w:t>2.85%</w:t>
            </w:r>
          </w:p>
        </w:tc>
        <w:tc>
          <w:tcPr>
            <w:tcW w:w="1212" w:type="dxa"/>
            <w:hideMark/>
          </w:tcPr>
          <w:p w14:paraId="397C88F8" w14:textId="4258F783" w:rsidR="00B777CD" w:rsidRPr="00B777CD" w:rsidRDefault="00B777CD" w:rsidP="00B777CD">
            <w:pPr>
              <w:spacing w:line="276" w:lineRule="auto"/>
              <w:rPr>
                <w:rFonts w:ascii="Arial" w:hAnsi="Arial" w:cs="Arial"/>
              </w:rPr>
            </w:pPr>
            <w:r w:rsidRPr="00B777CD">
              <w:rPr>
                <w:rFonts w:ascii="Arial" w:hAnsi="Arial" w:cs="Arial"/>
              </w:rPr>
              <w:t>109.47</w:t>
            </w:r>
          </w:p>
        </w:tc>
      </w:tr>
      <w:tr w:rsidR="00B777CD" w:rsidRPr="00BD6196" w14:paraId="1A97ADB8" w14:textId="77777777" w:rsidTr="00E50B89">
        <w:trPr>
          <w:trHeight w:val="296"/>
          <w:jc w:val="center"/>
        </w:trPr>
        <w:tc>
          <w:tcPr>
            <w:tcW w:w="5524" w:type="dxa"/>
            <w:noWrap/>
            <w:hideMark/>
          </w:tcPr>
          <w:p w14:paraId="74C89850" w14:textId="54F8D815" w:rsidR="00B777CD" w:rsidRPr="00BD6196" w:rsidRDefault="00B777CD" w:rsidP="00B777CD">
            <w:pPr>
              <w:spacing w:line="276" w:lineRule="auto"/>
              <w:rPr>
                <w:rFonts w:ascii="Arial" w:hAnsi="Arial" w:cs="Arial"/>
              </w:rPr>
            </w:pPr>
            <w:r w:rsidRPr="00BD6196">
              <w:rPr>
                <w:rFonts w:ascii="Arial" w:hAnsi="Arial" w:cs="Arial"/>
              </w:rPr>
              <w:t>Amortisation of intangible assets</w:t>
            </w:r>
          </w:p>
        </w:tc>
        <w:tc>
          <w:tcPr>
            <w:tcW w:w="1004" w:type="dxa"/>
            <w:noWrap/>
            <w:hideMark/>
          </w:tcPr>
          <w:p w14:paraId="4E881CD6" w14:textId="55168604" w:rsidR="00B777CD" w:rsidRPr="00B777CD" w:rsidRDefault="00B777CD" w:rsidP="00B777CD">
            <w:pPr>
              <w:spacing w:line="276" w:lineRule="auto"/>
              <w:rPr>
                <w:rFonts w:ascii="Arial" w:hAnsi="Arial" w:cs="Arial"/>
              </w:rPr>
            </w:pPr>
            <w:r w:rsidRPr="00B777CD">
              <w:rPr>
                <w:rFonts w:ascii="Arial" w:hAnsi="Arial" w:cs="Arial"/>
              </w:rPr>
              <w:t>0.26%</w:t>
            </w:r>
          </w:p>
        </w:tc>
        <w:tc>
          <w:tcPr>
            <w:tcW w:w="1276" w:type="dxa"/>
            <w:noWrap/>
            <w:hideMark/>
          </w:tcPr>
          <w:p w14:paraId="56C72D9C" w14:textId="571A5262" w:rsidR="00B777CD" w:rsidRPr="00B777CD" w:rsidRDefault="00B777CD" w:rsidP="00B777CD">
            <w:pPr>
              <w:spacing w:line="276" w:lineRule="auto"/>
              <w:rPr>
                <w:rFonts w:ascii="Arial" w:hAnsi="Arial" w:cs="Arial"/>
              </w:rPr>
            </w:pPr>
            <w:r w:rsidRPr="00B777CD">
              <w:rPr>
                <w:rFonts w:ascii="Arial" w:hAnsi="Arial" w:cs="Arial"/>
              </w:rPr>
              <w:t>1.59%</w:t>
            </w:r>
          </w:p>
        </w:tc>
        <w:tc>
          <w:tcPr>
            <w:tcW w:w="1212" w:type="dxa"/>
            <w:hideMark/>
          </w:tcPr>
          <w:p w14:paraId="322D9AC8" w14:textId="0CB9CFEE" w:rsidR="00B777CD" w:rsidRPr="00B777CD" w:rsidRDefault="00B777CD" w:rsidP="00B777CD">
            <w:pPr>
              <w:spacing w:line="276" w:lineRule="auto"/>
              <w:rPr>
                <w:rFonts w:ascii="Arial" w:hAnsi="Arial" w:cs="Arial"/>
              </w:rPr>
            </w:pPr>
            <w:r w:rsidRPr="00B777CD">
              <w:rPr>
                <w:rFonts w:ascii="Arial" w:hAnsi="Arial" w:cs="Arial"/>
              </w:rPr>
              <w:t>101.97</w:t>
            </w:r>
          </w:p>
        </w:tc>
      </w:tr>
      <w:tr w:rsidR="00B777CD" w:rsidRPr="00BD6196" w14:paraId="440CAF05" w14:textId="77777777" w:rsidTr="00E50B89">
        <w:trPr>
          <w:trHeight w:val="296"/>
          <w:jc w:val="center"/>
        </w:trPr>
        <w:tc>
          <w:tcPr>
            <w:tcW w:w="5524" w:type="dxa"/>
            <w:noWrap/>
            <w:hideMark/>
          </w:tcPr>
          <w:p w14:paraId="47F03520" w14:textId="77777777" w:rsidR="00B777CD" w:rsidRPr="00BD6196" w:rsidRDefault="00B777CD" w:rsidP="00B777CD">
            <w:pPr>
              <w:spacing w:line="276" w:lineRule="auto"/>
              <w:rPr>
                <w:rFonts w:ascii="Arial" w:hAnsi="Arial" w:cs="Arial"/>
              </w:rPr>
            </w:pPr>
            <w:r w:rsidRPr="00BD6196">
              <w:rPr>
                <w:rFonts w:ascii="Arial" w:hAnsi="Arial" w:cs="Arial"/>
              </w:rPr>
              <w:t>Net Impairments</w:t>
            </w:r>
          </w:p>
        </w:tc>
        <w:tc>
          <w:tcPr>
            <w:tcW w:w="1004" w:type="dxa"/>
            <w:noWrap/>
            <w:hideMark/>
          </w:tcPr>
          <w:p w14:paraId="6532D8D3" w14:textId="478ECA1E" w:rsidR="00B777CD" w:rsidRPr="00B777CD" w:rsidRDefault="00B777CD" w:rsidP="00B777CD">
            <w:pPr>
              <w:spacing w:line="276" w:lineRule="auto"/>
              <w:rPr>
                <w:rFonts w:ascii="Arial" w:hAnsi="Arial" w:cs="Arial"/>
              </w:rPr>
            </w:pPr>
            <w:r w:rsidRPr="00B777CD">
              <w:rPr>
                <w:rFonts w:ascii="Arial" w:hAnsi="Arial" w:cs="Arial"/>
              </w:rPr>
              <w:t>1.24%</w:t>
            </w:r>
          </w:p>
        </w:tc>
        <w:tc>
          <w:tcPr>
            <w:tcW w:w="1276" w:type="dxa"/>
            <w:noWrap/>
            <w:hideMark/>
          </w:tcPr>
          <w:p w14:paraId="6AB50C70" w14:textId="4BECB0D9"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3EAB1335" w14:textId="60451AB3"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3BD5BE36" w14:textId="77777777" w:rsidTr="00E50B89">
        <w:trPr>
          <w:trHeight w:val="296"/>
          <w:jc w:val="center"/>
        </w:trPr>
        <w:tc>
          <w:tcPr>
            <w:tcW w:w="5524" w:type="dxa"/>
            <w:noWrap/>
            <w:hideMark/>
          </w:tcPr>
          <w:p w14:paraId="35A339B2" w14:textId="77777777" w:rsidR="00B777CD" w:rsidRPr="00BD6196" w:rsidRDefault="00B777CD" w:rsidP="00B777CD">
            <w:pPr>
              <w:spacing w:line="276" w:lineRule="auto"/>
              <w:rPr>
                <w:rFonts w:ascii="Arial" w:hAnsi="Arial" w:cs="Arial"/>
              </w:rPr>
            </w:pPr>
            <w:r w:rsidRPr="00BD6196">
              <w:rPr>
                <w:rFonts w:ascii="Arial" w:hAnsi="Arial" w:cs="Arial"/>
              </w:rPr>
              <w:t>Increase in provision for impairment of receivables</w:t>
            </w:r>
          </w:p>
        </w:tc>
        <w:tc>
          <w:tcPr>
            <w:tcW w:w="1004" w:type="dxa"/>
            <w:noWrap/>
            <w:hideMark/>
          </w:tcPr>
          <w:p w14:paraId="51E92433" w14:textId="5EEBC14A" w:rsidR="00B777CD" w:rsidRPr="00B777CD" w:rsidRDefault="00B777CD" w:rsidP="00B777CD">
            <w:pPr>
              <w:spacing w:line="276" w:lineRule="auto"/>
              <w:rPr>
                <w:rFonts w:ascii="Arial" w:hAnsi="Arial" w:cs="Arial"/>
              </w:rPr>
            </w:pPr>
            <w:r w:rsidRPr="00B777CD">
              <w:rPr>
                <w:rFonts w:ascii="Arial" w:hAnsi="Arial" w:cs="Arial"/>
              </w:rPr>
              <w:t>0.12%</w:t>
            </w:r>
          </w:p>
        </w:tc>
        <w:tc>
          <w:tcPr>
            <w:tcW w:w="1276" w:type="dxa"/>
            <w:noWrap/>
            <w:hideMark/>
          </w:tcPr>
          <w:p w14:paraId="781E9DC1" w14:textId="15632254"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4996DE2A" w14:textId="1166A810"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02B8633F" w14:textId="77777777" w:rsidTr="00E50B89">
        <w:trPr>
          <w:trHeight w:val="296"/>
          <w:jc w:val="center"/>
        </w:trPr>
        <w:tc>
          <w:tcPr>
            <w:tcW w:w="5524" w:type="dxa"/>
            <w:noWrap/>
            <w:hideMark/>
          </w:tcPr>
          <w:p w14:paraId="11EEE600" w14:textId="77777777" w:rsidR="00B777CD" w:rsidRPr="00BD6196" w:rsidRDefault="00B777CD" w:rsidP="00B777CD">
            <w:pPr>
              <w:spacing w:line="276" w:lineRule="auto"/>
              <w:rPr>
                <w:rFonts w:ascii="Arial" w:hAnsi="Arial" w:cs="Arial"/>
              </w:rPr>
            </w:pPr>
            <w:r w:rsidRPr="00BD6196">
              <w:rPr>
                <w:rFonts w:ascii="Arial" w:hAnsi="Arial" w:cs="Arial"/>
              </w:rPr>
              <w:t>Increase in other provisions</w:t>
            </w:r>
          </w:p>
        </w:tc>
        <w:tc>
          <w:tcPr>
            <w:tcW w:w="1004" w:type="dxa"/>
            <w:noWrap/>
            <w:hideMark/>
          </w:tcPr>
          <w:p w14:paraId="14FA5350" w14:textId="7B1F4C34" w:rsidR="00B777CD" w:rsidRPr="00B777CD" w:rsidRDefault="00B777CD" w:rsidP="00B777CD">
            <w:pPr>
              <w:spacing w:line="276" w:lineRule="auto"/>
              <w:rPr>
                <w:rFonts w:ascii="Arial" w:hAnsi="Arial" w:cs="Arial"/>
              </w:rPr>
            </w:pPr>
            <w:r w:rsidRPr="00B777CD">
              <w:rPr>
                <w:rFonts w:ascii="Arial" w:hAnsi="Arial" w:cs="Arial"/>
              </w:rPr>
              <w:t>0.05%</w:t>
            </w:r>
          </w:p>
        </w:tc>
        <w:tc>
          <w:tcPr>
            <w:tcW w:w="1276" w:type="dxa"/>
            <w:noWrap/>
            <w:hideMark/>
          </w:tcPr>
          <w:p w14:paraId="625AD836" w14:textId="7ABB648B"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522579A4" w14:textId="4BA60661"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232BEC5C" w14:textId="77777777" w:rsidTr="00E50B89">
        <w:trPr>
          <w:trHeight w:val="296"/>
          <w:jc w:val="center"/>
        </w:trPr>
        <w:tc>
          <w:tcPr>
            <w:tcW w:w="5524" w:type="dxa"/>
            <w:noWrap/>
            <w:hideMark/>
          </w:tcPr>
          <w:p w14:paraId="76C4131E" w14:textId="77777777" w:rsidR="00B777CD" w:rsidRPr="00BD6196" w:rsidRDefault="00B777CD" w:rsidP="00B777CD">
            <w:pPr>
              <w:spacing w:line="276" w:lineRule="auto"/>
              <w:rPr>
                <w:rFonts w:ascii="Arial" w:hAnsi="Arial" w:cs="Arial"/>
              </w:rPr>
            </w:pPr>
            <w:r w:rsidRPr="00BD6196">
              <w:rPr>
                <w:rFonts w:ascii="Arial" w:hAnsi="Arial" w:cs="Arial"/>
              </w:rPr>
              <w:t>Change in provisions discount rate(s)</w:t>
            </w:r>
          </w:p>
        </w:tc>
        <w:tc>
          <w:tcPr>
            <w:tcW w:w="1004" w:type="dxa"/>
            <w:noWrap/>
            <w:hideMark/>
          </w:tcPr>
          <w:p w14:paraId="5B1E5EAF" w14:textId="790457D7" w:rsidR="00B777CD" w:rsidRPr="00B777CD" w:rsidRDefault="00B777CD" w:rsidP="00B777CD">
            <w:pPr>
              <w:spacing w:line="276" w:lineRule="auto"/>
              <w:rPr>
                <w:rFonts w:ascii="Arial" w:hAnsi="Arial" w:cs="Arial"/>
              </w:rPr>
            </w:pPr>
            <w:r w:rsidRPr="00B777CD">
              <w:rPr>
                <w:rFonts w:ascii="Arial" w:hAnsi="Arial" w:cs="Arial"/>
              </w:rPr>
              <w:t>-0.01%</w:t>
            </w:r>
          </w:p>
        </w:tc>
        <w:tc>
          <w:tcPr>
            <w:tcW w:w="1276" w:type="dxa"/>
            <w:noWrap/>
            <w:hideMark/>
          </w:tcPr>
          <w:p w14:paraId="37234900" w14:textId="36AAC346"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5FB44E47" w14:textId="640D242B"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6A48191B" w14:textId="77777777" w:rsidTr="00E50B89">
        <w:trPr>
          <w:trHeight w:val="296"/>
          <w:jc w:val="center"/>
        </w:trPr>
        <w:tc>
          <w:tcPr>
            <w:tcW w:w="5524" w:type="dxa"/>
            <w:noWrap/>
            <w:hideMark/>
          </w:tcPr>
          <w:p w14:paraId="671754D8" w14:textId="77777777" w:rsidR="00B777CD" w:rsidRPr="00BD6196" w:rsidRDefault="00B777CD" w:rsidP="00B777CD">
            <w:pPr>
              <w:spacing w:line="276" w:lineRule="auto"/>
              <w:rPr>
                <w:rFonts w:ascii="Arial" w:hAnsi="Arial" w:cs="Arial"/>
              </w:rPr>
            </w:pPr>
            <w:r w:rsidRPr="00BD6196">
              <w:rPr>
                <w:rFonts w:ascii="Arial" w:hAnsi="Arial" w:cs="Arial"/>
              </w:rPr>
              <w:t>Fees payable to the external auditor:</w:t>
            </w:r>
          </w:p>
        </w:tc>
        <w:tc>
          <w:tcPr>
            <w:tcW w:w="1004" w:type="dxa"/>
            <w:noWrap/>
            <w:hideMark/>
          </w:tcPr>
          <w:p w14:paraId="051ED0FE" w14:textId="4661D78E" w:rsidR="00B777CD" w:rsidRPr="00B777CD" w:rsidRDefault="00B777CD" w:rsidP="00B777CD">
            <w:pPr>
              <w:spacing w:line="276" w:lineRule="auto"/>
              <w:rPr>
                <w:rFonts w:ascii="Arial" w:hAnsi="Arial" w:cs="Arial"/>
              </w:rPr>
            </w:pPr>
          </w:p>
        </w:tc>
        <w:tc>
          <w:tcPr>
            <w:tcW w:w="1276" w:type="dxa"/>
            <w:noWrap/>
            <w:hideMark/>
          </w:tcPr>
          <w:p w14:paraId="0A4450AE" w14:textId="32974C63" w:rsidR="00B777CD" w:rsidRPr="00B777CD" w:rsidRDefault="00B777CD" w:rsidP="00B777CD">
            <w:pPr>
              <w:spacing w:line="276" w:lineRule="auto"/>
              <w:rPr>
                <w:rFonts w:ascii="Arial" w:hAnsi="Arial" w:cs="Arial"/>
              </w:rPr>
            </w:pPr>
          </w:p>
        </w:tc>
        <w:tc>
          <w:tcPr>
            <w:tcW w:w="1212" w:type="dxa"/>
            <w:hideMark/>
          </w:tcPr>
          <w:p w14:paraId="79D7E3B9" w14:textId="715A37B8" w:rsidR="00B777CD" w:rsidRPr="00B777CD" w:rsidRDefault="00B777CD" w:rsidP="00B777CD">
            <w:pPr>
              <w:spacing w:line="276" w:lineRule="auto"/>
              <w:rPr>
                <w:rFonts w:ascii="Arial" w:hAnsi="Arial" w:cs="Arial"/>
              </w:rPr>
            </w:pPr>
          </w:p>
        </w:tc>
      </w:tr>
      <w:tr w:rsidR="00B777CD" w:rsidRPr="00BD6196" w14:paraId="3E6D6E17" w14:textId="77777777" w:rsidTr="00E50B89">
        <w:trPr>
          <w:trHeight w:val="296"/>
          <w:jc w:val="center"/>
        </w:trPr>
        <w:tc>
          <w:tcPr>
            <w:tcW w:w="5524" w:type="dxa"/>
            <w:noWrap/>
            <w:hideMark/>
          </w:tcPr>
          <w:p w14:paraId="6AF80609" w14:textId="77777777" w:rsidR="00B777CD" w:rsidRPr="00BD6196" w:rsidRDefault="00B777CD" w:rsidP="00B777CD">
            <w:pPr>
              <w:spacing w:line="276" w:lineRule="auto"/>
              <w:rPr>
                <w:rFonts w:ascii="Arial" w:hAnsi="Arial" w:cs="Arial"/>
              </w:rPr>
            </w:pPr>
            <w:r w:rsidRPr="00BD6196">
              <w:rPr>
                <w:rFonts w:ascii="Arial" w:hAnsi="Arial" w:cs="Arial"/>
              </w:rPr>
              <w:t>audit services- statutory audit</w:t>
            </w:r>
          </w:p>
        </w:tc>
        <w:tc>
          <w:tcPr>
            <w:tcW w:w="1004" w:type="dxa"/>
            <w:noWrap/>
            <w:hideMark/>
          </w:tcPr>
          <w:p w14:paraId="480C7052" w14:textId="6F07E26E" w:rsidR="00B777CD" w:rsidRPr="00B777CD" w:rsidRDefault="00B777CD" w:rsidP="00B777CD">
            <w:pPr>
              <w:spacing w:line="276" w:lineRule="auto"/>
              <w:rPr>
                <w:rFonts w:ascii="Arial" w:hAnsi="Arial" w:cs="Arial"/>
              </w:rPr>
            </w:pPr>
            <w:r w:rsidRPr="00B777CD">
              <w:rPr>
                <w:rFonts w:ascii="Arial" w:hAnsi="Arial" w:cs="Arial"/>
              </w:rPr>
              <w:t>0.02%</w:t>
            </w:r>
          </w:p>
        </w:tc>
        <w:tc>
          <w:tcPr>
            <w:tcW w:w="1276" w:type="dxa"/>
            <w:noWrap/>
            <w:hideMark/>
          </w:tcPr>
          <w:p w14:paraId="203DC6BE" w14:textId="6F4A7CE3"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7CFE2F67" w14:textId="54E94F2F"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44E9E135" w14:textId="77777777" w:rsidTr="00E50B89">
        <w:trPr>
          <w:trHeight w:val="296"/>
          <w:jc w:val="center"/>
        </w:trPr>
        <w:tc>
          <w:tcPr>
            <w:tcW w:w="5524" w:type="dxa"/>
            <w:noWrap/>
            <w:hideMark/>
          </w:tcPr>
          <w:p w14:paraId="072542F3" w14:textId="77777777" w:rsidR="00B777CD" w:rsidRPr="00BD6196" w:rsidRDefault="00B777CD" w:rsidP="00B777CD">
            <w:pPr>
              <w:spacing w:line="276" w:lineRule="auto"/>
              <w:rPr>
                <w:rFonts w:ascii="Arial" w:hAnsi="Arial" w:cs="Arial"/>
              </w:rPr>
            </w:pPr>
            <w:proofErr w:type="gramStart"/>
            <w:r w:rsidRPr="00BD6196">
              <w:rPr>
                <w:rFonts w:ascii="Arial" w:hAnsi="Arial" w:cs="Arial"/>
              </w:rPr>
              <w:t>other</w:t>
            </w:r>
            <w:proofErr w:type="gramEnd"/>
            <w:r w:rsidRPr="00BD6196">
              <w:rPr>
                <w:rFonts w:ascii="Arial" w:hAnsi="Arial" w:cs="Arial"/>
              </w:rPr>
              <w:t xml:space="preserve"> auditor remuneration (external auditor only)</w:t>
            </w:r>
          </w:p>
        </w:tc>
        <w:tc>
          <w:tcPr>
            <w:tcW w:w="1004" w:type="dxa"/>
            <w:noWrap/>
            <w:hideMark/>
          </w:tcPr>
          <w:p w14:paraId="3B86088B" w14:textId="44C02FC5" w:rsidR="00B777CD" w:rsidRPr="00B777CD" w:rsidRDefault="00B777CD" w:rsidP="00B777CD">
            <w:pPr>
              <w:spacing w:line="276" w:lineRule="auto"/>
              <w:rPr>
                <w:rFonts w:ascii="Arial" w:hAnsi="Arial" w:cs="Arial"/>
              </w:rPr>
            </w:pPr>
            <w:r w:rsidRPr="00B777CD">
              <w:rPr>
                <w:rFonts w:ascii="Arial" w:hAnsi="Arial" w:cs="Arial"/>
              </w:rPr>
              <w:t>0.00%</w:t>
            </w:r>
          </w:p>
        </w:tc>
        <w:tc>
          <w:tcPr>
            <w:tcW w:w="1276" w:type="dxa"/>
            <w:noWrap/>
            <w:hideMark/>
          </w:tcPr>
          <w:p w14:paraId="2002930A" w14:textId="315B3B27"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1DCFB89B" w14:textId="57B6386C"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50D953EB" w14:textId="77777777" w:rsidTr="00E50B89">
        <w:trPr>
          <w:trHeight w:val="296"/>
          <w:jc w:val="center"/>
        </w:trPr>
        <w:tc>
          <w:tcPr>
            <w:tcW w:w="5524" w:type="dxa"/>
            <w:noWrap/>
            <w:hideMark/>
          </w:tcPr>
          <w:p w14:paraId="5B71925B" w14:textId="77777777" w:rsidR="00B777CD" w:rsidRPr="00BD6196" w:rsidRDefault="00B777CD" w:rsidP="00B777CD">
            <w:pPr>
              <w:spacing w:line="276" w:lineRule="auto"/>
              <w:rPr>
                <w:rFonts w:ascii="Arial" w:hAnsi="Arial" w:cs="Arial"/>
              </w:rPr>
            </w:pPr>
            <w:r w:rsidRPr="00BD6196">
              <w:rPr>
                <w:rFonts w:ascii="Arial" w:hAnsi="Arial" w:cs="Arial"/>
              </w:rPr>
              <w:t>Internal audit costs, including local counter fraud services</w:t>
            </w:r>
          </w:p>
        </w:tc>
        <w:tc>
          <w:tcPr>
            <w:tcW w:w="1004" w:type="dxa"/>
            <w:noWrap/>
            <w:hideMark/>
          </w:tcPr>
          <w:p w14:paraId="2F08A0AD" w14:textId="7455A54D" w:rsidR="00B777CD" w:rsidRPr="00B777CD" w:rsidRDefault="00B777CD" w:rsidP="00B777CD">
            <w:pPr>
              <w:spacing w:line="276" w:lineRule="auto"/>
              <w:rPr>
                <w:rFonts w:ascii="Arial" w:hAnsi="Arial" w:cs="Arial"/>
              </w:rPr>
            </w:pPr>
            <w:r w:rsidRPr="00B777CD">
              <w:rPr>
                <w:rFonts w:ascii="Arial" w:hAnsi="Arial" w:cs="Arial"/>
              </w:rPr>
              <w:t>0.02%</w:t>
            </w:r>
          </w:p>
        </w:tc>
        <w:tc>
          <w:tcPr>
            <w:tcW w:w="1276" w:type="dxa"/>
            <w:noWrap/>
            <w:hideMark/>
          </w:tcPr>
          <w:p w14:paraId="7908CABC" w14:textId="41C8FEDB"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61568FD9" w14:textId="4C84DD95"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7970783F" w14:textId="77777777" w:rsidTr="00E50B89">
        <w:trPr>
          <w:trHeight w:val="296"/>
          <w:jc w:val="center"/>
        </w:trPr>
        <w:tc>
          <w:tcPr>
            <w:tcW w:w="5524" w:type="dxa"/>
            <w:noWrap/>
            <w:hideMark/>
          </w:tcPr>
          <w:p w14:paraId="3C754147" w14:textId="77777777" w:rsidR="00B777CD" w:rsidRPr="00BD6196" w:rsidRDefault="00B777CD" w:rsidP="00B777CD">
            <w:pPr>
              <w:spacing w:line="276" w:lineRule="auto"/>
              <w:rPr>
                <w:rFonts w:ascii="Arial" w:hAnsi="Arial" w:cs="Arial"/>
              </w:rPr>
            </w:pPr>
            <w:r w:rsidRPr="00BD6196">
              <w:rPr>
                <w:rFonts w:ascii="Arial" w:hAnsi="Arial" w:cs="Arial"/>
              </w:rPr>
              <w:t>Clinical negligence</w:t>
            </w:r>
          </w:p>
        </w:tc>
        <w:tc>
          <w:tcPr>
            <w:tcW w:w="1004" w:type="dxa"/>
            <w:noWrap/>
            <w:hideMark/>
          </w:tcPr>
          <w:p w14:paraId="795611A3" w14:textId="3EF3B053" w:rsidR="00B777CD" w:rsidRPr="00B777CD" w:rsidRDefault="00B777CD" w:rsidP="00B777CD">
            <w:pPr>
              <w:spacing w:line="276" w:lineRule="auto"/>
              <w:rPr>
                <w:rFonts w:ascii="Arial" w:hAnsi="Arial" w:cs="Arial"/>
              </w:rPr>
            </w:pPr>
            <w:r w:rsidRPr="00B777CD">
              <w:rPr>
                <w:rFonts w:ascii="Arial" w:hAnsi="Arial" w:cs="Arial"/>
              </w:rPr>
              <w:t>2.35%</w:t>
            </w:r>
          </w:p>
        </w:tc>
        <w:tc>
          <w:tcPr>
            <w:tcW w:w="1276" w:type="dxa"/>
            <w:noWrap/>
            <w:hideMark/>
          </w:tcPr>
          <w:p w14:paraId="75EF9A0A" w14:textId="25C03F9D"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03F56D58" w14:textId="6DB5A11A"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1D98E031" w14:textId="77777777" w:rsidTr="00E50B89">
        <w:trPr>
          <w:trHeight w:val="296"/>
          <w:jc w:val="center"/>
        </w:trPr>
        <w:tc>
          <w:tcPr>
            <w:tcW w:w="5524" w:type="dxa"/>
            <w:noWrap/>
            <w:hideMark/>
          </w:tcPr>
          <w:p w14:paraId="6AC1FA53" w14:textId="77777777" w:rsidR="00B777CD" w:rsidRPr="00BD6196" w:rsidRDefault="00B777CD" w:rsidP="00B777CD">
            <w:pPr>
              <w:spacing w:line="276" w:lineRule="auto"/>
              <w:rPr>
                <w:rFonts w:ascii="Arial" w:hAnsi="Arial" w:cs="Arial"/>
              </w:rPr>
            </w:pPr>
            <w:r w:rsidRPr="00BD6196">
              <w:rPr>
                <w:rFonts w:ascii="Arial" w:hAnsi="Arial" w:cs="Arial"/>
              </w:rPr>
              <w:t>Legal fees</w:t>
            </w:r>
          </w:p>
        </w:tc>
        <w:tc>
          <w:tcPr>
            <w:tcW w:w="1004" w:type="dxa"/>
            <w:noWrap/>
            <w:hideMark/>
          </w:tcPr>
          <w:p w14:paraId="2EAD42A8" w14:textId="4977F1D0" w:rsidR="00B777CD" w:rsidRPr="00B777CD" w:rsidRDefault="00B777CD" w:rsidP="00B777CD">
            <w:pPr>
              <w:spacing w:line="276" w:lineRule="auto"/>
              <w:rPr>
                <w:rFonts w:ascii="Arial" w:hAnsi="Arial" w:cs="Arial"/>
              </w:rPr>
            </w:pPr>
            <w:r w:rsidRPr="00B777CD">
              <w:rPr>
                <w:rFonts w:ascii="Arial" w:hAnsi="Arial" w:cs="Arial"/>
              </w:rPr>
              <w:t>0.10%</w:t>
            </w:r>
          </w:p>
        </w:tc>
        <w:tc>
          <w:tcPr>
            <w:tcW w:w="1276" w:type="dxa"/>
            <w:noWrap/>
            <w:hideMark/>
          </w:tcPr>
          <w:p w14:paraId="47E2EE37" w14:textId="110AA766"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67D97CE2" w14:textId="75500793"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7114DED8" w14:textId="77777777" w:rsidTr="00E50B89">
        <w:trPr>
          <w:trHeight w:val="296"/>
          <w:jc w:val="center"/>
        </w:trPr>
        <w:tc>
          <w:tcPr>
            <w:tcW w:w="5524" w:type="dxa"/>
            <w:noWrap/>
            <w:hideMark/>
          </w:tcPr>
          <w:p w14:paraId="0CDD7578" w14:textId="77777777" w:rsidR="00B777CD" w:rsidRPr="00BD6196" w:rsidRDefault="00B777CD" w:rsidP="00B777CD">
            <w:pPr>
              <w:spacing w:line="276" w:lineRule="auto"/>
              <w:rPr>
                <w:rFonts w:ascii="Arial" w:hAnsi="Arial" w:cs="Arial"/>
              </w:rPr>
            </w:pPr>
            <w:r w:rsidRPr="00BD6196">
              <w:rPr>
                <w:rFonts w:ascii="Arial" w:hAnsi="Arial" w:cs="Arial"/>
              </w:rPr>
              <w:t>Insurance</w:t>
            </w:r>
          </w:p>
        </w:tc>
        <w:tc>
          <w:tcPr>
            <w:tcW w:w="1004" w:type="dxa"/>
            <w:noWrap/>
            <w:hideMark/>
          </w:tcPr>
          <w:p w14:paraId="26F042E1" w14:textId="0FDD449E" w:rsidR="00B777CD" w:rsidRPr="00B777CD" w:rsidRDefault="00B777CD" w:rsidP="00B777CD">
            <w:pPr>
              <w:spacing w:line="276" w:lineRule="auto"/>
              <w:rPr>
                <w:rFonts w:ascii="Arial" w:hAnsi="Arial" w:cs="Arial"/>
              </w:rPr>
            </w:pPr>
            <w:r w:rsidRPr="00B777CD">
              <w:rPr>
                <w:rFonts w:ascii="Arial" w:hAnsi="Arial" w:cs="Arial"/>
              </w:rPr>
              <w:t>0.07%</w:t>
            </w:r>
          </w:p>
        </w:tc>
        <w:tc>
          <w:tcPr>
            <w:tcW w:w="1276" w:type="dxa"/>
            <w:noWrap/>
            <w:hideMark/>
          </w:tcPr>
          <w:p w14:paraId="6A4273BF" w14:textId="68AAD185" w:rsidR="00B777CD" w:rsidRPr="00B777CD" w:rsidRDefault="00B777CD" w:rsidP="00B777CD">
            <w:pPr>
              <w:spacing w:line="276" w:lineRule="auto"/>
              <w:rPr>
                <w:rFonts w:ascii="Arial" w:hAnsi="Arial" w:cs="Arial"/>
              </w:rPr>
            </w:pPr>
            <w:r w:rsidRPr="00B777CD">
              <w:rPr>
                <w:rFonts w:ascii="Arial" w:hAnsi="Arial" w:cs="Arial"/>
              </w:rPr>
              <w:t>-1.63%</w:t>
            </w:r>
          </w:p>
        </w:tc>
        <w:tc>
          <w:tcPr>
            <w:tcW w:w="1212" w:type="dxa"/>
            <w:hideMark/>
          </w:tcPr>
          <w:p w14:paraId="125F6791" w14:textId="110D438E" w:rsidR="00B777CD" w:rsidRPr="00B777CD" w:rsidRDefault="00B777CD" w:rsidP="00B777CD">
            <w:pPr>
              <w:spacing w:line="276" w:lineRule="auto"/>
              <w:rPr>
                <w:rFonts w:ascii="Arial" w:hAnsi="Arial" w:cs="Arial"/>
              </w:rPr>
            </w:pPr>
            <w:r w:rsidRPr="00B777CD">
              <w:rPr>
                <w:rFonts w:ascii="Arial" w:hAnsi="Arial" w:cs="Arial"/>
              </w:rPr>
              <w:t>116.57</w:t>
            </w:r>
          </w:p>
        </w:tc>
      </w:tr>
      <w:tr w:rsidR="00B777CD" w:rsidRPr="00BD6196" w14:paraId="61981F67" w14:textId="77777777" w:rsidTr="00E50B89">
        <w:trPr>
          <w:trHeight w:val="296"/>
          <w:jc w:val="center"/>
        </w:trPr>
        <w:tc>
          <w:tcPr>
            <w:tcW w:w="5524" w:type="dxa"/>
            <w:noWrap/>
            <w:hideMark/>
          </w:tcPr>
          <w:p w14:paraId="48B5F503" w14:textId="77777777" w:rsidR="00B777CD" w:rsidRPr="00BD6196" w:rsidRDefault="00B777CD" w:rsidP="00B777CD">
            <w:pPr>
              <w:spacing w:line="276" w:lineRule="auto"/>
              <w:rPr>
                <w:rFonts w:ascii="Arial" w:hAnsi="Arial" w:cs="Arial"/>
              </w:rPr>
            </w:pPr>
            <w:r w:rsidRPr="00BD6196">
              <w:rPr>
                <w:rFonts w:ascii="Arial" w:hAnsi="Arial" w:cs="Arial"/>
              </w:rPr>
              <w:t>Research and development</w:t>
            </w:r>
          </w:p>
        </w:tc>
        <w:tc>
          <w:tcPr>
            <w:tcW w:w="1004" w:type="dxa"/>
            <w:noWrap/>
            <w:hideMark/>
          </w:tcPr>
          <w:p w14:paraId="07854757" w14:textId="2CF17CD5" w:rsidR="00B777CD" w:rsidRPr="00B777CD" w:rsidRDefault="00B777CD" w:rsidP="00B777CD">
            <w:pPr>
              <w:spacing w:line="276" w:lineRule="auto"/>
              <w:rPr>
                <w:rFonts w:ascii="Arial" w:hAnsi="Arial" w:cs="Arial"/>
              </w:rPr>
            </w:pPr>
            <w:r w:rsidRPr="00B777CD">
              <w:rPr>
                <w:rFonts w:ascii="Arial" w:hAnsi="Arial" w:cs="Arial"/>
              </w:rPr>
              <w:t>0.72%</w:t>
            </w:r>
          </w:p>
        </w:tc>
        <w:tc>
          <w:tcPr>
            <w:tcW w:w="1276" w:type="dxa"/>
            <w:noWrap/>
            <w:hideMark/>
          </w:tcPr>
          <w:p w14:paraId="1F0E8084" w14:textId="30AF9D37" w:rsidR="00B777CD" w:rsidRPr="00B777CD" w:rsidRDefault="00B777CD" w:rsidP="00B777CD">
            <w:pPr>
              <w:spacing w:line="276" w:lineRule="auto"/>
              <w:rPr>
                <w:rFonts w:ascii="Arial" w:hAnsi="Arial" w:cs="Arial"/>
              </w:rPr>
            </w:pPr>
            <w:r w:rsidRPr="00B777CD">
              <w:rPr>
                <w:rFonts w:ascii="Arial" w:hAnsi="Arial" w:cs="Arial"/>
              </w:rPr>
              <w:t>2.79%</w:t>
            </w:r>
          </w:p>
        </w:tc>
        <w:tc>
          <w:tcPr>
            <w:tcW w:w="1212" w:type="dxa"/>
            <w:hideMark/>
          </w:tcPr>
          <w:p w14:paraId="0A650C5E" w14:textId="132E1674" w:rsidR="00B777CD" w:rsidRPr="00B777CD" w:rsidRDefault="00B777CD" w:rsidP="00B777CD">
            <w:pPr>
              <w:spacing w:line="276" w:lineRule="auto"/>
              <w:rPr>
                <w:rFonts w:ascii="Arial" w:hAnsi="Arial" w:cs="Arial"/>
              </w:rPr>
            </w:pPr>
            <w:r w:rsidRPr="00B777CD">
              <w:rPr>
                <w:rFonts w:ascii="Arial" w:hAnsi="Arial" w:cs="Arial"/>
              </w:rPr>
              <w:t>105.19</w:t>
            </w:r>
          </w:p>
        </w:tc>
      </w:tr>
      <w:tr w:rsidR="00B777CD" w:rsidRPr="00BD6196" w14:paraId="2C7098E6" w14:textId="77777777" w:rsidTr="00E50B89">
        <w:trPr>
          <w:trHeight w:val="296"/>
          <w:jc w:val="center"/>
        </w:trPr>
        <w:tc>
          <w:tcPr>
            <w:tcW w:w="5524" w:type="dxa"/>
            <w:noWrap/>
            <w:hideMark/>
          </w:tcPr>
          <w:p w14:paraId="23F9A788" w14:textId="77777777" w:rsidR="00B777CD" w:rsidRPr="00BD6196" w:rsidRDefault="00B777CD" w:rsidP="00B777CD">
            <w:pPr>
              <w:spacing w:line="276" w:lineRule="auto"/>
              <w:rPr>
                <w:rFonts w:ascii="Arial" w:hAnsi="Arial" w:cs="Arial"/>
              </w:rPr>
            </w:pPr>
            <w:r w:rsidRPr="00BD6196">
              <w:rPr>
                <w:rFonts w:ascii="Arial" w:hAnsi="Arial" w:cs="Arial"/>
              </w:rPr>
              <w:t>Education and training</w:t>
            </w:r>
          </w:p>
        </w:tc>
        <w:tc>
          <w:tcPr>
            <w:tcW w:w="1004" w:type="dxa"/>
            <w:noWrap/>
            <w:hideMark/>
          </w:tcPr>
          <w:p w14:paraId="3B9CE293" w14:textId="6B4729F3" w:rsidR="00B777CD" w:rsidRPr="00B777CD" w:rsidRDefault="00B777CD" w:rsidP="00B777CD">
            <w:pPr>
              <w:spacing w:line="276" w:lineRule="auto"/>
              <w:rPr>
                <w:rFonts w:ascii="Arial" w:hAnsi="Arial" w:cs="Arial"/>
              </w:rPr>
            </w:pPr>
            <w:r w:rsidRPr="00B777CD">
              <w:rPr>
                <w:rFonts w:ascii="Arial" w:hAnsi="Arial" w:cs="Arial"/>
              </w:rPr>
              <w:t>0.53%</w:t>
            </w:r>
          </w:p>
        </w:tc>
        <w:tc>
          <w:tcPr>
            <w:tcW w:w="1276" w:type="dxa"/>
            <w:noWrap/>
            <w:hideMark/>
          </w:tcPr>
          <w:p w14:paraId="0CACF6E6" w14:textId="2869A7AE" w:rsidR="00B777CD" w:rsidRPr="00B777CD" w:rsidRDefault="00B777CD" w:rsidP="00B777CD">
            <w:pPr>
              <w:spacing w:line="276" w:lineRule="auto"/>
              <w:rPr>
                <w:rFonts w:ascii="Arial" w:hAnsi="Arial" w:cs="Arial"/>
              </w:rPr>
            </w:pPr>
            <w:r w:rsidRPr="00B777CD">
              <w:rPr>
                <w:rFonts w:ascii="Arial" w:hAnsi="Arial" w:cs="Arial"/>
              </w:rPr>
              <w:t>2.24%</w:t>
            </w:r>
          </w:p>
        </w:tc>
        <w:tc>
          <w:tcPr>
            <w:tcW w:w="1212" w:type="dxa"/>
            <w:hideMark/>
          </w:tcPr>
          <w:p w14:paraId="628892B2" w14:textId="1124B8FB" w:rsidR="00B777CD" w:rsidRPr="00B777CD" w:rsidRDefault="00B777CD" w:rsidP="00B777CD">
            <w:pPr>
              <w:spacing w:line="276" w:lineRule="auto"/>
              <w:rPr>
                <w:rFonts w:ascii="Arial" w:hAnsi="Arial" w:cs="Arial"/>
              </w:rPr>
            </w:pPr>
            <w:r w:rsidRPr="00B777CD">
              <w:rPr>
                <w:rFonts w:ascii="Arial" w:hAnsi="Arial" w:cs="Arial"/>
              </w:rPr>
              <w:t>105.97</w:t>
            </w:r>
          </w:p>
        </w:tc>
      </w:tr>
      <w:tr w:rsidR="00B777CD" w:rsidRPr="00BD6196" w14:paraId="3F6227D8" w14:textId="77777777" w:rsidTr="00E50B89">
        <w:trPr>
          <w:trHeight w:val="296"/>
          <w:jc w:val="center"/>
        </w:trPr>
        <w:tc>
          <w:tcPr>
            <w:tcW w:w="5524" w:type="dxa"/>
            <w:noWrap/>
            <w:hideMark/>
          </w:tcPr>
          <w:p w14:paraId="76A6680C" w14:textId="77777777" w:rsidR="00B777CD" w:rsidRPr="00BD6196" w:rsidRDefault="00B777CD" w:rsidP="00B777CD">
            <w:pPr>
              <w:spacing w:line="276" w:lineRule="auto"/>
              <w:rPr>
                <w:rFonts w:ascii="Arial" w:hAnsi="Arial" w:cs="Arial"/>
              </w:rPr>
            </w:pPr>
            <w:r w:rsidRPr="00BD6196">
              <w:rPr>
                <w:rFonts w:ascii="Arial" w:hAnsi="Arial" w:cs="Arial"/>
              </w:rPr>
              <w:t>Rentals under operating leases</w:t>
            </w:r>
          </w:p>
        </w:tc>
        <w:tc>
          <w:tcPr>
            <w:tcW w:w="1004" w:type="dxa"/>
            <w:noWrap/>
            <w:hideMark/>
          </w:tcPr>
          <w:p w14:paraId="68F292E9" w14:textId="4C6CFEEA" w:rsidR="00B777CD" w:rsidRPr="00B777CD" w:rsidRDefault="00B777CD" w:rsidP="00B777CD">
            <w:pPr>
              <w:spacing w:line="276" w:lineRule="auto"/>
              <w:rPr>
                <w:rFonts w:ascii="Arial" w:hAnsi="Arial" w:cs="Arial"/>
              </w:rPr>
            </w:pPr>
            <w:r w:rsidRPr="00B777CD">
              <w:rPr>
                <w:rFonts w:ascii="Arial" w:hAnsi="Arial" w:cs="Arial"/>
              </w:rPr>
              <w:t>0.84%</w:t>
            </w:r>
          </w:p>
        </w:tc>
        <w:tc>
          <w:tcPr>
            <w:tcW w:w="1276" w:type="dxa"/>
            <w:noWrap/>
            <w:hideMark/>
          </w:tcPr>
          <w:p w14:paraId="3CFAECE8" w14:textId="1256D2EC" w:rsidR="00B777CD" w:rsidRPr="00B777CD" w:rsidRDefault="00B777CD" w:rsidP="00B777CD">
            <w:pPr>
              <w:spacing w:line="276" w:lineRule="auto"/>
              <w:rPr>
                <w:rFonts w:ascii="Arial" w:hAnsi="Arial" w:cs="Arial"/>
              </w:rPr>
            </w:pPr>
            <w:r w:rsidRPr="00B777CD">
              <w:rPr>
                <w:rFonts w:ascii="Arial" w:hAnsi="Arial" w:cs="Arial"/>
              </w:rPr>
              <w:t>1.63%</w:t>
            </w:r>
          </w:p>
        </w:tc>
        <w:tc>
          <w:tcPr>
            <w:tcW w:w="1212" w:type="dxa"/>
            <w:hideMark/>
          </w:tcPr>
          <w:p w14:paraId="015F4837" w14:textId="4D00A45F" w:rsidR="00B777CD" w:rsidRPr="00B777CD" w:rsidRDefault="00B777CD" w:rsidP="00B777CD">
            <w:pPr>
              <w:spacing w:line="276" w:lineRule="auto"/>
              <w:rPr>
                <w:rFonts w:ascii="Arial" w:hAnsi="Arial" w:cs="Arial"/>
              </w:rPr>
            </w:pPr>
            <w:r w:rsidRPr="00B777CD">
              <w:rPr>
                <w:rFonts w:ascii="Arial" w:hAnsi="Arial" w:cs="Arial"/>
              </w:rPr>
              <w:t>100.12</w:t>
            </w:r>
          </w:p>
        </w:tc>
      </w:tr>
      <w:tr w:rsidR="00B777CD" w:rsidRPr="00BD6196" w14:paraId="5DB3A662" w14:textId="77777777" w:rsidTr="00E50B89">
        <w:trPr>
          <w:trHeight w:val="296"/>
          <w:jc w:val="center"/>
        </w:trPr>
        <w:tc>
          <w:tcPr>
            <w:tcW w:w="5524" w:type="dxa"/>
            <w:noWrap/>
            <w:hideMark/>
          </w:tcPr>
          <w:p w14:paraId="339F5659" w14:textId="77777777" w:rsidR="00B777CD" w:rsidRPr="00BD6196" w:rsidRDefault="00B777CD" w:rsidP="00B777CD">
            <w:pPr>
              <w:spacing w:line="276" w:lineRule="auto"/>
              <w:rPr>
                <w:rFonts w:ascii="Arial" w:hAnsi="Arial" w:cs="Arial"/>
              </w:rPr>
            </w:pPr>
            <w:r w:rsidRPr="00BD6196">
              <w:rPr>
                <w:rFonts w:ascii="Arial" w:hAnsi="Arial" w:cs="Arial"/>
              </w:rPr>
              <w:t>Early retirements</w:t>
            </w:r>
          </w:p>
        </w:tc>
        <w:tc>
          <w:tcPr>
            <w:tcW w:w="1004" w:type="dxa"/>
            <w:noWrap/>
            <w:hideMark/>
          </w:tcPr>
          <w:p w14:paraId="02C06136" w14:textId="465972E1" w:rsidR="00B777CD" w:rsidRPr="00B777CD" w:rsidRDefault="00B777CD" w:rsidP="00B777CD">
            <w:pPr>
              <w:spacing w:line="276" w:lineRule="auto"/>
              <w:rPr>
                <w:rFonts w:ascii="Arial" w:hAnsi="Arial" w:cs="Arial"/>
              </w:rPr>
            </w:pPr>
            <w:r w:rsidRPr="00B777CD">
              <w:rPr>
                <w:rFonts w:ascii="Arial" w:hAnsi="Arial" w:cs="Arial"/>
              </w:rPr>
              <w:t>0.00%</w:t>
            </w:r>
          </w:p>
        </w:tc>
        <w:tc>
          <w:tcPr>
            <w:tcW w:w="1276" w:type="dxa"/>
            <w:noWrap/>
            <w:hideMark/>
          </w:tcPr>
          <w:p w14:paraId="295E1608" w14:textId="3AD24D97" w:rsidR="00B777CD" w:rsidRPr="00B777CD" w:rsidRDefault="00B777CD" w:rsidP="00B777CD">
            <w:pPr>
              <w:spacing w:line="276" w:lineRule="auto"/>
              <w:rPr>
                <w:rFonts w:ascii="Arial" w:hAnsi="Arial" w:cs="Arial"/>
              </w:rPr>
            </w:pPr>
            <w:r w:rsidRPr="00B777CD">
              <w:rPr>
                <w:rFonts w:ascii="Arial" w:hAnsi="Arial" w:cs="Arial"/>
              </w:rPr>
              <w:t>2.24%</w:t>
            </w:r>
          </w:p>
        </w:tc>
        <w:tc>
          <w:tcPr>
            <w:tcW w:w="1212" w:type="dxa"/>
            <w:hideMark/>
          </w:tcPr>
          <w:p w14:paraId="197FFA57" w14:textId="1E6958FF" w:rsidR="00B777CD" w:rsidRPr="00B777CD" w:rsidRDefault="00B777CD" w:rsidP="00B777CD">
            <w:pPr>
              <w:spacing w:line="276" w:lineRule="auto"/>
              <w:rPr>
                <w:rFonts w:ascii="Arial" w:hAnsi="Arial" w:cs="Arial"/>
              </w:rPr>
            </w:pPr>
            <w:r w:rsidRPr="00B777CD">
              <w:rPr>
                <w:rFonts w:ascii="Arial" w:hAnsi="Arial" w:cs="Arial"/>
              </w:rPr>
              <w:t>105.97</w:t>
            </w:r>
          </w:p>
        </w:tc>
      </w:tr>
      <w:tr w:rsidR="00B777CD" w:rsidRPr="00BD6196" w14:paraId="032C1F5A" w14:textId="77777777" w:rsidTr="00E50B89">
        <w:trPr>
          <w:trHeight w:val="296"/>
          <w:jc w:val="center"/>
        </w:trPr>
        <w:tc>
          <w:tcPr>
            <w:tcW w:w="5524" w:type="dxa"/>
            <w:noWrap/>
            <w:hideMark/>
          </w:tcPr>
          <w:p w14:paraId="5002E214" w14:textId="22AC4D12" w:rsidR="00B777CD" w:rsidRPr="00BD6196" w:rsidRDefault="00B777CD" w:rsidP="00B777CD">
            <w:pPr>
              <w:spacing w:line="276" w:lineRule="auto"/>
              <w:rPr>
                <w:rFonts w:ascii="Arial" w:hAnsi="Arial" w:cs="Arial"/>
              </w:rPr>
            </w:pPr>
            <w:r w:rsidRPr="00BD6196">
              <w:rPr>
                <w:rFonts w:ascii="Arial" w:hAnsi="Arial" w:cs="Arial"/>
              </w:rPr>
              <w:t>Redundancy</w:t>
            </w:r>
          </w:p>
        </w:tc>
        <w:tc>
          <w:tcPr>
            <w:tcW w:w="1004" w:type="dxa"/>
            <w:noWrap/>
            <w:hideMark/>
          </w:tcPr>
          <w:p w14:paraId="19A8095C" w14:textId="5BCBEF41" w:rsidR="00B777CD" w:rsidRPr="00B777CD" w:rsidRDefault="00B777CD" w:rsidP="00B777CD">
            <w:pPr>
              <w:spacing w:line="276" w:lineRule="auto"/>
              <w:rPr>
                <w:rFonts w:ascii="Arial" w:hAnsi="Arial" w:cs="Arial"/>
              </w:rPr>
            </w:pPr>
            <w:r w:rsidRPr="00B777CD">
              <w:rPr>
                <w:rFonts w:ascii="Arial" w:hAnsi="Arial" w:cs="Arial"/>
              </w:rPr>
              <w:t>0.04%</w:t>
            </w:r>
          </w:p>
        </w:tc>
        <w:tc>
          <w:tcPr>
            <w:tcW w:w="1276" w:type="dxa"/>
            <w:noWrap/>
            <w:hideMark/>
          </w:tcPr>
          <w:p w14:paraId="5E7BDE12" w14:textId="43AD0F04" w:rsidR="00B777CD" w:rsidRPr="00B777CD" w:rsidRDefault="00B777CD" w:rsidP="00B777CD">
            <w:pPr>
              <w:spacing w:line="276" w:lineRule="auto"/>
              <w:rPr>
                <w:rFonts w:ascii="Arial" w:hAnsi="Arial" w:cs="Arial"/>
              </w:rPr>
            </w:pPr>
            <w:r w:rsidRPr="00B777CD">
              <w:rPr>
                <w:rFonts w:ascii="Arial" w:hAnsi="Arial" w:cs="Arial"/>
              </w:rPr>
              <w:t>2.24%</w:t>
            </w:r>
          </w:p>
        </w:tc>
        <w:tc>
          <w:tcPr>
            <w:tcW w:w="1212" w:type="dxa"/>
            <w:hideMark/>
          </w:tcPr>
          <w:p w14:paraId="51033599" w14:textId="04A1ECB3" w:rsidR="00B777CD" w:rsidRPr="00B777CD" w:rsidRDefault="00B777CD" w:rsidP="00B777CD">
            <w:pPr>
              <w:spacing w:line="276" w:lineRule="auto"/>
              <w:rPr>
                <w:rFonts w:ascii="Arial" w:hAnsi="Arial" w:cs="Arial"/>
              </w:rPr>
            </w:pPr>
            <w:r w:rsidRPr="00B777CD">
              <w:rPr>
                <w:rFonts w:ascii="Arial" w:hAnsi="Arial" w:cs="Arial"/>
              </w:rPr>
              <w:t>105.97</w:t>
            </w:r>
          </w:p>
        </w:tc>
      </w:tr>
      <w:tr w:rsidR="00B777CD" w:rsidRPr="00BD6196" w14:paraId="116406CC" w14:textId="77777777" w:rsidTr="00E50B89">
        <w:trPr>
          <w:trHeight w:val="296"/>
          <w:jc w:val="center"/>
        </w:trPr>
        <w:tc>
          <w:tcPr>
            <w:tcW w:w="5524" w:type="dxa"/>
            <w:hideMark/>
          </w:tcPr>
          <w:p w14:paraId="4EBB8155" w14:textId="6E41DF6E" w:rsidR="00B777CD" w:rsidRPr="00BD6196" w:rsidRDefault="00B777CD" w:rsidP="00B777CD">
            <w:pPr>
              <w:spacing w:line="276" w:lineRule="auto"/>
              <w:rPr>
                <w:rFonts w:ascii="Arial" w:hAnsi="Arial" w:cs="Arial"/>
              </w:rPr>
            </w:pPr>
            <w:r w:rsidRPr="00BD6196">
              <w:rPr>
                <w:rFonts w:ascii="Arial" w:hAnsi="Arial" w:cs="Arial"/>
              </w:rPr>
              <w:t>Charges to operating expenditure for on-</w:t>
            </w:r>
            <w:proofErr w:type="spellStart"/>
            <w:r w:rsidRPr="00BD6196">
              <w:rPr>
                <w:rFonts w:ascii="Arial" w:hAnsi="Arial" w:cs="Arial"/>
              </w:rPr>
              <w:t>SoFP</w:t>
            </w:r>
            <w:proofErr w:type="spellEnd"/>
            <w:r w:rsidRPr="00BD6196">
              <w:rPr>
                <w:rFonts w:ascii="Arial" w:hAnsi="Arial" w:cs="Arial"/>
              </w:rPr>
              <w:t xml:space="preserve"> FRIC </w:t>
            </w:r>
          </w:p>
        </w:tc>
        <w:tc>
          <w:tcPr>
            <w:tcW w:w="1004" w:type="dxa"/>
            <w:noWrap/>
            <w:hideMark/>
          </w:tcPr>
          <w:p w14:paraId="0A5D7838" w14:textId="19481A55" w:rsidR="00B777CD" w:rsidRPr="00B777CD" w:rsidRDefault="00B777CD" w:rsidP="00B777CD">
            <w:pPr>
              <w:spacing w:line="276" w:lineRule="auto"/>
              <w:rPr>
                <w:rFonts w:ascii="Arial" w:hAnsi="Arial" w:cs="Arial"/>
              </w:rPr>
            </w:pPr>
            <w:r w:rsidRPr="00B777CD">
              <w:rPr>
                <w:rFonts w:ascii="Arial" w:hAnsi="Arial" w:cs="Arial"/>
              </w:rPr>
              <w:t>1.12%</w:t>
            </w:r>
          </w:p>
        </w:tc>
        <w:tc>
          <w:tcPr>
            <w:tcW w:w="1276" w:type="dxa"/>
            <w:noWrap/>
            <w:hideMark/>
          </w:tcPr>
          <w:p w14:paraId="3ED9BAC2" w14:textId="33CF59DB" w:rsidR="00B777CD" w:rsidRPr="00B777CD" w:rsidRDefault="00B777CD" w:rsidP="00B777CD">
            <w:pPr>
              <w:spacing w:line="276" w:lineRule="auto"/>
              <w:rPr>
                <w:rFonts w:ascii="Arial" w:hAnsi="Arial" w:cs="Arial"/>
              </w:rPr>
            </w:pPr>
            <w:r w:rsidRPr="00B777CD">
              <w:rPr>
                <w:rFonts w:ascii="Arial" w:hAnsi="Arial" w:cs="Arial"/>
              </w:rPr>
              <w:t>3.06%</w:t>
            </w:r>
          </w:p>
        </w:tc>
        <w:tc>
          <w:tcPr>
            <w:tcW w:w="1212" w:type="dxa"/>
            <w:hideMark/>
          </w:tcPr>
          <w:p w14:paraId="41DE8A14" w14:textId="6724CDF0" w:rsidR="00B777CD" w:rsidRPr="00B777CD" w:rsidRDefault="00B777CD" w:rsidP="00B777CD">
            <w:pPr>
              <w:spacing w:line="276" w:lineRule="auto"/>
              <w:rPr>
                <w:rFonts w:ascii="Arial" w:hAnsi="Arial" w:cs="Arial"/>
              </w:rPr>
            </w:pPr>
            <w:r w:rsidRPr="00B777CD">
              <w:rPr>
                <w:rFonts w:ascii="Arial" w:hAnsi="Arial" w:cs="Arial"/>
              </w:rPr>
              <w:t>110.39</w:t>
            </w:r>
          </w:p>
        </w:tc>
      </w:tr>
      <w:tr w:rsidR="00B777CD" w:rsidRPr="00BD6196" w14:paraId="08FE0669" w14:textId="77777777" w:rsidTr="00E50B89">
        <w:trPr>
          <w:trHeight w:val="296"/>
          <w:jc w:val="center"/>
        </w:trPr>
        <w:tc>
          <w:tcPr>
            <w:tcW w:w="5524" w:type="dxa"/>
            <w:hideMark/>
          </w:tcPr>
          <w:p w14:paraId="4565784E" w14:textId="2C8465CB" w:rsidR="00B777CD" w:rsidRPr="00BD6196" w:rsidRDefault="00B777CD" w:rsidP="00B777CD">
            <w:pPr>
              <w:spacing w:line="276" w:lineRule="auto"/>
              <w:rPr>
                <w:rFonts w:ascii="Arial" w:hAnsi="Arial" w:cs="Arial"/>
              </w:rPr>
            </w:pPr>
            <w:r w:rsidRPr="00BD6196">
              <w:rPr>
                <w:rFonts w:ascii="Arial" w:hAnsi="Arial" w:cs="Arial"/>
              </w:rPr>
              <w:t>Charges to operating expenditure for off-</w:t>
            </w:r>
            <w:proofErr w:type="spellStart"/>
            <w:r w:rsidRPr="00BD6196">
              <w:rPr>
                <w:rFonts w:ascii="Arial" w:hAnsi="Arial" w:cs="Arial"/>
              </w:rPr>
              <w:t>SoFP</w:t>
            </w:r>
            <w:proofErr w:type="spellEnd"/>
            <w:r w:rsidRPr="00BD6196">
              <w:rPr>
                <w:rFonts w:ascii="Arial" w:hAnsi="Arial" w:cs="Arial"/>
              </w:rPr>
              <w:t xml:space="preserve"> IFRIC </w:t>
            </w:r>
          </w:p>
        </w:tc>
        <w:tc>
          <w:tcPr>
            <w:tcW w:w="1004" w:type="dxa"/>
            <w:noWrap/>
            <w:hideMark/>
          </w:tcPr>
          <w:p w14:paraId="60C52B04" w14:textId="5815DD4C" w:rsidR="00B777CD" w:rsidRPr="00B777CD" w:rsidRDefault="00B777CD" w:rsidP="00B777CD">
            <w:pPr>
              <w:spacing w:line="276" w:lineRule="auto"/>
              <w:rPr>
                <w:rFonts w:ascii="Arial" w:hAnsi="Arial" w:cs="Arial"/>
              </w:rPr>
            </w:pPr>
            <w:r w:rsidRPr="00B777CD">
              <w:rPr>
                <w:rFonts w:ascii="Arial" w:hAnsi="Arial" w:cs="Arial"/>
              </w:rPr>
              <w:t>0.01%</w:t>
            </w:r>
          </w:p>
        </w:tc>
        <w:tc>
          <w:tcPr>
            <w:tcW w:w="1276" w:type="dxa"/>
            <w:noWrap/>
            <w:hideMark/>
          </w:tcPr>
          <w:p w14:paraId="07101AC3" w14:textId="3C36BC7C" w:rsidR="00B777CD" w:rsidRPr="00B777CD" w:rsidRDefault="00B777CD" w:rsidP="00B777CD">
            <w:pPr>
              <w:spacing w:line="276" w:lineRule="auto"/>
              <w:rPr>
                <w:rFonts w:ascii="Arial" w:hAnsi="Arial" w:cs="Arial"/>
              </w:rPr>
            </w:pPr>
            <w:r w:rsidRPr="00B777CD">
              <w:rPr>
                <w:rFonts w:ascii="Arial" w:hAnsi="Arial" w:cs="Arial"/>
              </w:rPr>
              <w:t>3.06%</w:t>
            </w:r>
          </w:p>
        </w:tc>
        <w:tc>
          <w:tcPr>
            <w:tcW w:w="1212" w:type="dxa"/>
            <w:hideMark/>
          </w:tcPr>
          <w:p w14:paraId="0FDF6A4F" w14:textId="12D3323A" w:rsidR="00B777CD" w:rsidRPr="00B777CD" w:rsidRDefault="00B777CD" w:rsidP="00B777CD">
            <w:pPr>
              <w:spacing w:line="276" w:lineRule="auto"/>
              <w:rPr>
                <w:rFonts w:ascii="Arial" w:hAnsi="Arial" w:cs="Arial"/>
              </w:rPr>
            </w:pPr>
            <w:r w:rsidRPr="00B777CD">
              <w:rPr>
                <w:rFonts w:ascii="Arial" w:hAnsi="Arial" w:cs="Arial"/>
              </w:rPr>
              <w:t>110.39</w:t>
            </w:r>
          </w:p>
        </w:tc>
      </w:tr>
      <w:tr w:rsidR="00B777CD" w:rsidRPr="00BD6196" w14:paraId="2E5226DF" w14:textId="77777777" w:rsidTr="00E50B89">
        <w:trPr>
          <w:trHeight w:val="296"/>
          <w:jc w:val="center"/>
        </w:trPr>
        <w:tc>
          <w:tcPr>
            <w:tcW w:w="5524" w:type="dxa"/>
            <w:noWrap/>
            <w:hideMark/>
          </w:tcPr>
          <w:p w14:paraId="144895FB" w14:textId="77777777" w:rsidR="00B777CD" w:rsidRPr="00BD6196" w:rsidRDefault="00B777CD" w:rsidP="00B777CD">
            <w:pPr>
              <w:spacing w:line="276" w:lineRule="auto"/>
              <w:rPr>
                <w:rFonts w:ascii="Arial" w:hAnsi="Arial" w:cs="Arial"/>
              </w:rPr>
            </w:pPr>
            <w:r w:rsidRPr="00BD6196">
              <w:rPr>
                <w:rFonts w:ascii="Arial" w:hAnsi="Arial" w:cs="Arial"/>
              </w:rPr>
              <w:t>Car parking &amp; security</w:t>
            </w:r>
          </w:p>
        </w:tc>
        <w:tc>
          <w:tcPr>
            <w:tcW w:w="1004" w:type="dxa"/>
            <w:noWrap/>
            <w:hideMark/>
          </w:tcPr>
          <w:p w14:paraId="3FAE7BA0" w14:textId="2297CA38" w:rsidR="00B777CD" w:rsidRPr="00B777CD" w:rsidRDefault="00B777CD" w:rsidP="00B777CD">
            <w:pPr>
              <w:spacing w:line="276" w:lineRule="auto"/>
              <w:rPr>
                <w:rFonts w:ascii="Arial" w:hAnsi="Arial" w:cs="Arial"/>
              </w:rPr>
            </w:pPr>
            <w:r w:rsidRPr="00B777CD">
              <w:rPr>
                <w:rFonts w:ascii="Arial" w:hAnsi="Arial" w:cs="Arial"/>
              </w:rPr>
              <w:t>0.05%</w:t>
            </w:r>
          </w:p>
        </w:tc>
        <w:tc>
          <w:tcPr>
            <w:tcW w:w="1276" w:type="dxa"/>
            <w:noWrap/>
            <w:hideMark/>
          </w:tcPr>
          <w:p w14:paraId="23C980DE" w14:textId="071E4A75" w:rsidR="00B777CD" w:rsidRPr="00B777CD" w:rsidRDefault="00B777CD" w:rsidP="00B777CD">
            <w:pPr>
              <w:spacing w:line="276" w:lineRule="auto"/>
              <w:rPr>
                <w:rFonts w:ascii="Arial" w:hAnsi="Arial" w:cs="Arial"/>
              </w:rPr>
            </w:pPr>
            <w:r w:rsidRPr="00B777CD">
              <w:rPr>
                <w:rFonts w:ascii="Arial" w:hAnsi="Arial" w:cs="Arial"/>
              </w:rPr>
              <w:t>1.61%</w:t>
            </w:r>
          </w:p>
        </w:tc>
        <w:tc>
          <w:tcPr>
            <w:tcW w:w="1212" w:type="dxa"/>
            <w:hideMark/>
          </w:tcPr>
          <w:p w14:paraId="04619307" w14:textId="1D81DF07" w:rsidR="00B777CD" w:rsidRPr="00B777CD" w:rsidRDefault="00B777CD" w:rsidP="00B777CD">
            <w:pPr>
              <w:spacing w:line="276" w:lineRule="auto"/>
              <w:rPr>
                <w:rFonts w:ascii="Arial" w:hAnsi="Arial" w:cs="Arial"/>
              </w:rPr>
            </w:pPr>
            <w:r w:rsidRPr="00B777CD">
              <w:rPr>
                <w:rFonts w:ascii="Arial" w:hAnsi="Arial" w:cs="Arial"/>
              </w:rPr>
              <w:t>105.30</w:t>
            </w:r>
          </w:p>
        </w:tc>
      </w:tr>
      <w:tr w:rsidR="00B777CD" w:rsidRPr="00BD6196" w14:paraId="4DAB3AD2" w14:textId="77777777" w:rsidTr="00E50B89">
        <w:trPr>
          <w:trHeight w:val="296"/>
          <w:jc w:val="center"/>
        </w:trPr>
        <w:tc>
          <w:tcPr>
            <w:tcW w:w="5524" w:type="dxa"/>
            <w:noWrap/>
            <w:hideMark/>
          </w:tcPr>
          <w:p w14:paraId="20A9FCC0" w14:textId="47157006" w:rsidR="00B777CD" w:rsidRPr="00BD6196" w:rsidRDefault="00B777CD" w:rsidP="00B777CD">
            <w:pPr>
              <w:spacing w:line="276" w:lineRule="auto"/>
              <w:rPr>
                <w:rFonts w:ascii="Arial" w:hAnsi="Arial" w:cs="Arial"/>
              </w:rPr>
            </w:pPr>
            <w:r w:rsidRPr="00BD6196">
              <w:rPr>
                <w:rFonts w:ascii="Arial" w:hAnsi="Arial" w:cs="Arial"/>
              </w:rPr>
              <w:t>Hospitality</w:t>
            </w:r>
          </w:p>
        </w:tc>
        <w:tc>
          <w:tcPr>
            <w:tcW w:w="1004" w:type="dxa"/>
            <w:noWrap/>
            <w:hideMark/>
          </w:tcPr>
          <w:p w14:paraId="34520D05" w14:textId="693E106E" w:rsidR="00B777CD" w:rsidRPr="00B777CD" w:rsidRDefault="00B777CD" w:rsidP="00B777CD">
            <w:pPr>
              <w:spacing w:line="276" w:lineRule="auto"/>
              <w:rPr>
                <w:rFonts w:ascii="Arial" w:hAnsi="Arial" w:cs="Arial"/>
              </w:rPr>
            </w:pPr>
            <w:r w:rsidRPr="00B777CD">
              <w:rPr>
                <w:rFonts w:ascii="Arial" w:hAnsi="Arial" w:cs="Arial"/>
              </w:rPr>
              <w:t>0.01%</w:t>
            </w:r>
          </w:p>
        </w:tc>
        <w:tc>
          <w:tcPr>
            <w:tcW w:w="1276" w:type="dxa"/>
            <w:noWrap/>
            <w:hideMark/>
          </w:tcPr>
          <w:p w14:paraId="4ACA464B" w14:textId="0D094C77"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4CF77E0B" w14:textId="4DCC036A"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46F058E0" w14:textId="77777777" w:rsidTr="00E50B89">
        <w:trPr>
          <w:trHeight w:val="296"/>
          <w:jc w:val="center"/>
        </w:trPr>
        <w:tc>
          <w:tcPr>
            <w:tcW w:w="5524" w:type="dxa"/>
            <w:noWrap/>
            <w:hideMark/>
          </w:tcPr>
          <w:p w14:paraId="3CFC676D" w14:textId="77777777" w:rsidR="00B777CD" w:rsidRPr="00BD6196" w:rsidRDefault="00B777CD" w:rsidP="00B777CD">
            <w:pPr>
              <w:spacing w:line="276" w:lineRule="auto"/>
              <w:rPr>
                <w:rFonts w:ascii="Arial" w:hAnsi="Arial" w:cs="Arial"/>
              </w:rPr>
            </w:pPr>
            <w:r w:rsidRPr="00BD6196">
              <w:rPr>
                <w:rFonts w:ascii="Arial" w:hAnsi="Arial" w:cs="Arial"/>
              </w:rPr>
              <w:t>Losses, ex gratia &amp; special payments</w:t>
            </w:r>
          </w:p>
        </w:tc>
        <w:tc>
          <w:tcPr>
            <w:tcW w:w="1004" w:type="dxa"/>
            <w:noWrap/>
            <w:hideMark/>
          </w:tcPr>
          <w:p w14:paraId="3A1891F8" w14:textId="2753C077" w:rsidR="00B777CD" w:rsidRPr="00B777CD" w:rsidRDefault="00B777CD" w:rsidP="00B777CD">
            <w:pPr>
              <w:spacing w:line="276" w:lineRule="auto"/>
              <w:rPr>
                <w:rFonts w:ascii="Arial" w:hAnsi="Arial" w:cs="Arial"/>
              </w:rPr>
            </w:pPr>
            <w:r w:rsidRPr="00B777CD">
              <w:rPr>
                <w:rFonts w:ascii="Arial" w:hAnsi="Arial" w:cs="Arial"/>
              </w:rPr>
              <w:t>0.02%</w:t>
            </w:r>
          </w:p>
        </w:tc>
        <w:tc>
          <w:tcPr>
            <w:tcW w:w="1276" w:type="dxa"/>
            <w:noWrap/>
            <w:hideMark/>
          </w:tcPr>
          <w:p w14:paraId="5BA4BAF9" w14:textId="530B5B83"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59A5C12A" w14:textId="4573168B"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39C0F5C8" w14:textId="77777777" w:rsidTr="00E50B89">
        <w:trPr>
          <w:trHeight w:val="296"/>
          <w:jc w:val="center"/>
        </w:trPr>
        <w:tc>
          <w:tcPr>
            <w:tcW w:w="5524" w:type="dxa"/>
            <w:noWrap/>
            <w:hideMark/>
          </w:tcPr>
          <w:p w14:paraId="0D8E6371" w14:textId="77777777" w:rsidR="00B777CD" w:rsidRPr="00BD6196" w:rsidRDefault="00B777CD" w:rsidP="00B777CD">
            <w:pPr>
              <w:spacing w:line="276" w:lineRule="auto"/>
              <w:rPr>
                <w:rFonts w:ascii="Arial" w:hAnsi="Arial" w:cs="Arial"/>
              </w:rPr>
            </w:pPr>
            <w:r w:rsidRPr="00BD6196">
              <w:rPr>
                <w:rFonts w:ascii="Arial" w:hAnsi="Arial" w:cs="Arial"/>
              </w:rPr>
              <w:lastRenderedPageBreak/>
              <w:t>Grossing up consortium arrangements</w:t>
            </w:r>
          </w:p>
        </w:tc>
        <w:tc>
          <w:tcPr>
            <w:tcW w:w="1004" w:type="dxa"/>
            <w:noWrap/>
            <w:hideMark/>
          </w:tcPr>
          <w:p w14:paraId="2A89A644" w14:textId="5F9EA715" w:rsidR="00B777CD" w:rsidRPr="00B777CD" w:rsidRDefault="00B777CD" w:rsidP="00B777CD">
            <w:pPr>
              <w:spacing w:line="276" w:lineRule="auto"/>
              <w:rPr>
                <w:rFonts w:ascii="Arial" w:hAnsi="Arial" w:cs="Arial"/>
              </w:rPr>
            </w:pPr>
            <w:r w:rsidRPr="00B777CD">
              <w:rPr>
                <w:rFonts w:ascii="Arial" w:hAnsi="Arial" w:cs="Arial"/>
              </w:rPr>
              <w:t>0.01%</w:t>
            </w:r>
          </w:p>
        </w:tc>
        <w:tc>
          <w:tcPr>
            <w:tcW w:w="1276" w:type="dxa"/>
            <w:noWrap/>
            <w:hideMark/>
          </w:tcPr>
          <w:p w14:paraId="7DBC4BBA" w14:textId="647CCA3C"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3BB21449" w14:textId="71B85EBB"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772416DC" w14:textId="77777777" w:rsidTr="00E50B89">
        <w:trPr>
          <w:trHeight w:val="296"/>
          <w:jc w:val="center"/>
        </w:trPr>
        <w:tc>
          <w:tcPr>
            <w:tcW w:w="5524" w:type="dxa"/>
            <w:noWrap/>
            <w:hideMark/>
          </w:tcPr>
          <w:p w14:paraId="3AA1DB83" w14:textId="77777777" w:rsidR="00B777CD" w:rsidRPr="00BD6196" w:rsidRDefault="00B777CD" w:rsidP="00B777CD">
            <w:pPr>
              <w:spacing w:line="276" w:lineRule="auto"/>
              <w:rPr>
                <w:rFonts w:ascii="Arial" w:hAnsi="Arial" w:cs="Arial"/>
              </w:rPr>
            </w:pPr>
            <w:r w:rsidRPr="00BD6196">
              <w:rPr>
                <w:rFonts w:ascii="Arial" w:hAnsi="Arial" w:cs="Arial"/>
              </w:rPr>
              <w:t xml:space="preserve">Other services, </w:t>
            </w:r>
            <w:proofErr w:type="spellStart"/>
            <w:r w:rsidRPr="00BD6196">
              <w:rPr>
                <w:rFonts w:ascii="Arial" w:hAnsi="Arial" w:cs="Arial"/>
              </w:rPr>
              <w:t>eg</w:t>
            </w:r>
            <w:proofErr w:type="spellEnd"/>
            <w:r w:rsidRPr="00BD6196">
              <w:rPr>
                <w:rFonts w:ascii="Arial" w:hAnsi="Arial" w:cs="Arial"/>
              </w:rPr>
              <w:t xml:space="preserve"> external payroll</w:t>
            </w:r>
          </w:p>
        </w:tc>
        <w:tc>
          <w:tcPr>
            <w:tcW w:w="1004" w:type="dxa"/>
            <w:noWrap/>
            <w:hideMark/>
          </w:tcPr>
          <w:p w14:paraId="6E6F12F8" w14:textId="18167720" w:rsidR="00B777CD" w:rsidRPr="00B777CD" w:rsidRDefault="00B777CD" w:rsidP="00B777CD">
            <w:pPr>
              <w:spacing w:line="276" w:lineRule="auto"/>
              <w:rPr>
                <w:rFonts w:ascii="Arial" w:hAnsi="Arial" w:cs="Arial"/>
              </w:rPr>
            </w:pPr>
            <w:r w:rsidRPr="00B777CD">
              <w:rPr>
                <w:rFonts w:ascii="Arial" w:hAnsi="Arial" w:cs="Arial"/>
              </w:rPr>
              <w:t>0.08%</w:t>
            </w:r>
          </w:p>
        </w:tc>
        <w:tc>
          <w:tcPr>
            <w:tcW w:w="1276" w:type="dxa"/>
            <w:noWrap/>
            <w:hideMark/>
          </w:tcPr>
          <w:p w14:paraId="3637A0E4" w14:textId="30E4B66E"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0F241AC8" w14:textId="56BB98A5"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6195C8C2" w14:textId="77777777" w:rsidTr="00E50B89">
        <w:trPr>
          <w:trHeight w:val="296"/>
          <w:jc w:val="center"/>
        </w:trPr>
        <w:tc>
          <w:tcPr>
            <w:tcW w:w="5524" w:type="dxa"/>
            <w:noWrap/>
            <w:hideMark/>
          </w:tcPr>
          <w:p w14:paraId="3E8DFC92" w14:textId="29512F79" w:rsidR="00B777CD" w:rsidRPr="00BD6196" w:rsidRDefault="00B777CD" w:rsidP="00B777CD">
            <w:pPr>
              <w:spacing w:line="276" w:lineRule="auto"/>
              <w:rPr>
                <w:rFonts w:ascii="Arial" w:hAnsi="Arial" w:cs="Arial"/>
              </w:rPr>
            </w:pPr>
            <w:r w:rsidRPr="00BD6196">
              <w:rPr>
                <w:rFonts w:ascii="Arial" w:hAnsi="Arial" w:cs="Arial"/>
              </w:rPr>
              <w:t>Other</w:t>
            </w:r>
          </w:p>
        </w:tc>
        <w:tc>
          <w:tcPr>
            <w:tcW w:w="1004" w:type="dxa"/>
            <w:noWrap/>
            <w:hideMark/>
          </w:tcPr>
          <w:p w14:paraId="681F303F" w14:textId="0D677AD9" w:rsidR="00B777CD" w:rsidRPr="00B777CD" w:rsidRDefault="00B777CD" w:rsidP="00B777CD">
            <w:pPr>
              <w:spacing w:line="276" w:lineRule="auto"/>
              <w:rPr>
                <w:rFonts w:ascii="Arial" w:hAnsi="Arial" w:cs="Arial"/>
              </w:rPr>
            </w:pPr>
            <w:r w:rsidRPr="00B777CD">
              <w:rPr>
                <w:rFonts w:ascii="Arial" w:hAnsi="Arial" w:cs="Arial"/>
              </w:rPr>
              <w:t>0.52%</w:t>
            </w:r>
          </w:p>
        </w:tc>
        <w:tc>
          <w:tcPr>
            <w:tcW w:w="1276" w:type="dxa"/>
            <w:noWrap/>
            <w:hideMark/>
          </w:tcPr>
          <w:p w14:paraId="0F8ADE78" w14:textId="55E088CF"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5D85658D" w14:textId="27AE3217" w:rsidR="00B777CD" w:rsidRPr="00B777CD" w:rsidRDefault="00B777CD" w:rsidP="00B777CD">
            <w:pPr>
              <w:spacing w:line="276" w:lineRule="auto"/>
              <w:rPr>
                <w:rFonts w:ascii="Arial" w:hAnsi="Arial" w:cs="Arial"/>
              </w:rPr>
            </w:pPr>
            <w:r w:rsidRPr="00B777CD">
              <w:rPr>
                <w:rFonts w:ascii="Arial" w:hAnsi="Arial" w:cs="Arial"/>
              </w:rPr>
              <w:t>106.07</w:t>
            </w:r>
          </w:p>
        </w:tc>
      </w:tr>
      <w:tr w:rsidR="00B777CD" w:rsidRPr="00BD6196" w14:paraId="732618FB" w14:textId="77777777" w:rsidTr="00E50B89">
        <w:trPr>
          <w:trHeight w:val="296"/>
          <w:jc w:val="center"/>
        </w:trPr>
        <w:tc>
          <w:tcPr>
            <w:tcW w:w="5524" w:type="dxa"/>
            <w:noWrap/>
            <w:hideMark/>
          </w:tcPr>
          <w:p w14:paraId="4A43A1F4" w14:textId="77777777" w:rsidR="00B777CD" w:rsidRPr="00BD6196" w:rsidRDefault="00B777CD" w:rsidP="00B777CD">
            <w:pPr>
              <w:spacing w:line="276" w:lineRule="auto"/>
              <w:rPr>
                <w:rFonts w:ascii="Arial" w:hAnsi="Arial" w:cs="Arial"/>
              </w:rPr>
            </w:pPr>
            <w:r w:rsidRPr="00BD6196">
              <w:rPr>
                <w:rFonts w:ascii="Arial" w:hAnsi="Arial" w:cs="Arial"/>
              </w:rPr>
              <w:t>NHS charitable funds: Other resources expended</w:t>
            </w:r>
          </w:p>
        </w:tc>
        <w:tc>
          <w:tcPr>
            <w:tcW w:w="1004" w:type="dxa"/>
            <w:noWrap/>
            <w:hideMark/>
          </w:tcPr>
          <w:p w14:paraId="1FA8E190" w14:textId="691A2ED0" w:rsidR="00B777CD" w:rsidRPr="00B777CD" w:rsidRDefault="00B777CD" w:rsidP="00B777CD">
            <w:pPr>
              <w:spacing w:line="276" w:lineRule="auto"/>
              <w:rPr>
                <w:rFonts w:ascii="Arial" w:hAnsi="Arial" w:cs="Arial"/>
              </w:rPr>
            </w:pPr>
            <w:r w:rsidRPr="00B777CD">
              <w:rPr>
                <w:rFonts w:ascii="Arial" w:hAnsi="Arial" w:cs="Arial"/>
              </w:rPr>
              <w:t>0.04%</w:t>
            </w:r>
          </w:p>
        </w:tc>
        <w:tc>
          <w:tcPr>
            <w:tcW w:w="1276" w:type="dxa"/>
            <w:noWrap/>
            <w:hideMark/>
          </w:tcPr>
          <w:p w14:paraId="2CE21593" w14:textId="308CB6DF" w:rsidR="00B777CD" w:rsidRPr="00B777CD" w:rsidRDefault="00B777CD" w:rsidP="00B777CD">
            <w:pPr>
              <w:spacing w:line="276" w:lineRule="auto"/>
              <w:rPr>
                <w:rFonts w:ascii="Arial" w:hAnsi="Arial" w:cs="Arial"/>
              </w:rPr>
            </w:pPr>
            <w:r w:rsidRPr="00B777CD">
              <w:rPr>
                <w:rFonts w:ascii="Arial" w:hAnsi="Arial" w:cs="Arial"/>
              </w:rPr>
              <w:t xml:space="preserve">   </w:t>
            </w:r>
          </w:p>
        </w:tc>
        <w:tc>
          <w:tcPr>
            <w:tcW w:w="1212" w:type="dxa"/>
            <w:hideMark/>
          </w:tcPr>
          <w:p w14:paraId="78626E15" w14:textId="24297427" w:rsidR="00B777CD" w:rsidRPr="00B777CD" w:rsidRDefault="00B777CD" w:rsidP="00B777CD">
            <w:pPr>
              <w:spacing w:line="276" w:lineRule="auto"/>
              <w:rPr>
                <w:rFonts w:ascii="Arial" w:hAnsi="Arial" w:cs="Arial"/>
              </w:rPr>
            </w:pPr>
            <w:r w:rsidRPr="00B777CD">
              <w:rPr>
                <w:rFonts w:ascii="Arial" w:hAnsi="Arial" w:cs="Arial"/>
              </w:rPr>
              <w:t>106.07</w:t>
            </w:r>
          </w:p>
        </w:tc>
      </w:tr>
    </w:tbl>
    <w:p w14:paraId="5B58024B" w14:textId="03F260E7" w:rsidR="007E7C9F" w:rsidRDefault="007E7C9F" w:rsidP="00BD6196">
      <w:pPr>
        <w:spacing w:line="276" w:lineRule="auto"/>
        <w:rPr>
          <w:rFonts w:ascii="Arial" w:hAnsi="Arial" w:cs="Arial"/>
          <w:sz w:val="20"/>
        </w:rPr>
      </w:pPr>
      <w:r w:rsidRPr="00BD6196">
        <w:rPr>
          <w:rFonts w:ascii="Arial" w:hAnsi="Arial" w:cs="Arial"/>
          <w:sz w:val="20"/>
        </w:rPr>
        <w:t xml:space="preserve">Note: </w:t>
      </w:r>
      <w:r w:rsidR="0034682E" w:rsidRPr="00BD6196">
        <w:rPr>
          <w:rFonts w:ascii="Arial" w:hAnsi="Arial" w:cs="Arial"/>
          <w:sz w:val="20"/>
        </w:rPr>
        <w:t>all figures are for 201</w:t>
      </w:r>
      <w:r w:rsidR="00F14C28">
        <w:rPr>
          <w:rFonts w:ascii="Arial" w:hAnsi="Arial" w:cs="Arial"/>
          <w:sz w:val="20"/>
        </w:rPr>
        <w:t>8</w:t>
      </w:r>
      <w:r w:rsidR="0034682E" w:rsidRPr="00BD6196">
        <w:rPr>
          <w:rFonts w:ascii="Arial" w:hAnsi="Arial" w:cs="Arial"/>
          <w:sz w:val="20"/>
        </w:rPr>
        <w:t>/1</w:t>
      </w:r>
      <w:r w:rsidR="00F14C28">
        <w:rPr>
          <w:rFonts w:ascii="Arial" w:hAnsi="Arial" w:cs="Arial"/>
          <w:sz w:val="20"/>
        </w:rPr>
        <w:t>9</w:t>
      </w:r>
      <w:r w:rsidR="0034682E" w:rsidRPr="00BD6196">
        <w:rPr>
          <w:rFonts w:ascii="Arial" w:hAnsi="Arial" w:cs="Arial"/>
          <w:sz w:val="20"/>
        </w:rPr>
        <w:t>. B</w:t>
      </w:r>
      <w:r w:rsidRPr="00BD6196">
        <w:rPr>
          <w:rFonts w:ascii="Arial" w:hAnsi="Arial" w:cs="Arial"/>
          <w:sz w:val="20"/>
        </w:rPr>
        <w:t xml:space="preserve">lanks in deflators </w:t>
      </w:r>
      <w:r w:rsidR="0034682E" w:rsidRPr="00BD6196">
        <w:rPr>
          <w:rFonts w:ascii="Arial" w:hAnsi="Arial" w:cs="Arial"/>
          <w:sz w:val="20"/>
        </w:rPr>
        <w:t>indicate</w:t>
      </w:r>
      <w:r w:rsidR="00294EA5" w:rsidRPr="00BD6196">
        <w:rPr>
          <w:rFonts w:ascii="Arial" w:hAnsi="Arial" w:cs="Arial"/>
          <w:sz w:val="20"/>
        </w:rPr>
        <w:t>s</w:t>
      </w:r>
      <w:r w:rsidRPr="00BD6196">
        <w:rPr>
          <w:rFonts w:ascii="Arial" w:hAnsi="Arial" w:cs="Arial"/>
          <w:sz w:val="20"/>
        </w:rPr>
        <w:t xml:space="preserve"> the residual was used as a deflator. Source: %of spend comes from trust accounts and deflators from the sources outlined above. </w:t>
      </w:r>
    </w:p>
    <w:p w14:paraId="4F8BAB3E" w14:textId="77777777" w:rsidR="00D633E8" w:rsidRPr="00D633E8" w:rsidRDefault="00D633E8" w:rsidP="00BD6196">
      <w:pPr>
        <w:spacing w:line="276" w:lineRule="auto"/>
        <w:rPr>
          <w:rFonts w:ascii="Arial" w:hAnsi="Arial" w:cs="Arial"/>
          <w:sz w:val="24"/>
        </w:rPr>
      </w:pPr>
    </w:p>
    <w:p w14:paraId="0F579967" w14:textId="55D22A32" w:rsidR="007E7C9F" w:rsidRPr="00BD6196" w:rsidRDefault="00F321B3" w:rsidP="00BD6196">
      <w:pPr>
        <w:pStyle w:val="ListParagraph"/>
        <w:numPr>
          <w:ilvl w:val="0"/>
          <w:numId w:val="6"/>
        </w:numPr>
        <w:spacing w:line="276" w:lineRule="auto"/>
        <w:rPr>
          <w:rFonts w:ascii="Arial" w:hAnsi="Arial" w:cs="Arial"/>
          <w:sz w:val="24"/>
        </w:rPr>
      </w:pPr>
      <w:r w:rsidRPr="00BD6196">
        <w:rPr>
          <w:rFonts w:ascii="Arial" w:hAnsi="Arial" w:cs="Arial"/>
          <w:sz w:val="24"/>
        </w:rPr>
        <w:t xml:space="preserve">Each deflator is weighted against the proportion of spend on that item to give the overall </w:t>
      </w:r>
      <w:r w:rsidR="00E50B89">
        <w:rPr>
          <w:rFonts w:ascii="Arial" w:hAnsi="Arial" w:cs="Arial"/>
          <w:sz w:val="24"/>
        </w:rPr>
        <w:t xml:space="preserve">inflation </w:t>
      </w:r>
      <w:r w:rsidRPr="00BD6196">
        <w:rPr>
          <w:rFonts w:ascii="Arial" w:hAnsi="Arial" w:cs="Arial"/>
          <w:sz w:val="24"/>
        </w:rPr>
        <w:t>index for providers</w:t>
      </w:r>
      <w:r w:rsidR="00390334" w:rsidRPr="00BD6196">
        <w:rPr>
          <w:rFonts w:ascii="Arial" w:hAnsi="Arial" w:cs="Arial"/>
          <w:sz w:val="24"/>
        </w:rPr>
        <w:t xml:space="preserve">, split by pay </w:t>
      </w:r>
      <w:r w:rsidR="00757DBA">
        <w:rPr>
          <w:rFonts w:ascii="Arial" w:hAnsi="Arial" w:cs="Arial"/>
          <w:sz w:val="24"/>
        </w:rPr>
        <w:t>(employee expenses and non-executive directors) and non-pay (the rest of the items)</w:t>
      </w:r>
      <w:r w:rsidRPr="00BD6196">
        <w:rPr>
          <w:rFonts w:ascii="Arial" w:hAnsi="Arial" w:cs="Arial"/>
          <w:sz w:val="24"/>
        </w:rPr>
        <w:t xml:space="preserve">. </w:t>
      </w:r>
    </w:p>
    <w:p w14:paraId="670F98FF" w14:textId="294A516B" w:rsidR="000D031D" w:rsidRDefault="000D031D" w:rsidP="00BD6196">
      <w:pPr>
        <w:pStyle w:val="ListParagraph"/>
        <w:spacing w:line="276" w:lineRule="auto"/>
        <w:ind w:left="0"/>
        <w:rPr>
          <w:rFonts w:ascii="Arial" w:hAnsi="Arial" w:cs="Arial"/>
          <w:sz w:val="24"/>
        </w:rPr>
      </w:pPr>
    </w:p>
    <w:p w14:paraId="712E8647" w14:textId="5E115A44" w:rsidR="00BD6196" w:rsidRPr="00BD6196" w:rsidRDefault="00BD6196" w:rsidP="00BD6196">
      <w:pPr>
        <w:spacing w:after="0" w:line="276" w:lineRule="auto"/>
        <w:jc w:val="center"/>
        <w:rPr>
          <w:rFonts w:ascii="Arial" w:hAnsi="Arial" w:cs="Arial"/>
          <w:sz w:val="24"/>
        </w:rPr>
      </w:pPr>
      <w:r w:rsidRPr="00BD6196">
        <w:rPr>
          <w:rFonts w:ascii="Arial" w:hAnsi="Arial" w:cs="Arial"/>
          <w:sz w:val="24"/>
          <w:u w:val="single"/>
        </w:rPr>
        <w:t>Table 1</w:t>
      </w:r>
      <w:r>
        <w:rPr>
          <w:rFonts w:ascii="Arial" w:hAnsi="Arial" w:cs="Arial"/>
          <w:sz w:val="24"/>
          <w:u w:val="single"/>
        </w:rPr>
        <w:t>2</w:t>
      </w:r>
      <w:r w:rsidRPr="00BD6196">
        <w:rPr>
          <w:rFonts w:ascii="Arial" w:hAnsi="Arial" w:cs="Arial"/>
          <w:sz w:val="24"/>
          <w:u w:val="single"/>
        </w:rPr>
        <w:t xml:space="preserve">: </w:t>
      </w:r>
      <w:r w:rsidR="007242AA">
        <w:rPr>
          <w:rFonts w:ascii="Arial" w:hAnsi="Arial" w:cs="Arial"/>
          <w:sz w:val="24"/>
          <w:u w:val="single"/>
        </w:rPr>
        <w:t>O</w:t>
      </w:r>
      <w:r>
        <w:rPr>
          <w:rFonts w:ascii="Arial" w:hAnsi="Arial" w:cs="Arial"/>
          <w:sz w:val="24"/>
          <w:u w:val="single"/>
        </w:rPr>
        <w:t>verall p</w:t>
      </w:r>
      <w:r w:rsidRPr="00BD6196">
        <w:rPr>
          <w:rFonts w:ascii="Arial" w:hAnsi="Arial" w:cs="Arial"/>
          <w:sz w:val="24"/>
          <w:u w:val="single"/>
        </w:rPr>
        <w:t xml:space="preserve">rovider </w:t>
      </w:r>
      <w:r w:rsidR="00451BC7">
        <w:rPr>
          <w:rFonts w:ascii="Arial" w:hAnsi="Arial" w:cs="Arial"/>
          <w:sz w:val="24"/>
          <w:u w:val="single"/>
        </w:rPr>
        <w:t>cost inflation</w:t>
      </w:r>
    </w:p>
    <w:tbl>
      <w:tblPr>
        <w:tblStyle w:val="TableGrid"/>
        <w:tblW w:w="7423" w:type="dxa"/>
        <w:jc w:val="center"/>
        <w:tblLook w:val="04A0" w:firstRow="1" w:lastRow="0" w:firstColumn="1" w:lastColumn="0" w:noHBand="0" w:noVBand="1"/>
      </w:tblPr>
      <w:tblGrid>
        <w:gridCol w:w="2830"/>
        <w:gridCol w:w="1127"/>
        <w:gridCol w:w="1168"/>
        <w:gridCol w:w="1171"/>
        <w:gridCol w:w="1127"/>
      </w:tblGrid>
      <w:tr w:rsidR="00451BC7" w:rsidRPr="00BD6196" w14:paraId="4F8A6FCB" w14:textId="43B2530B" w:rsidTr="00451BC7">
        <w:trPr>
          <w:trHeight w:val="173"/>
          <w:jc w:val="center"/>
        </w:trPr>
        <w:tc>
          <w:tcPr>
            <w:tcW w:w="2830" w:type="dxa"/>
            <w:noWrap/>
            <w:hideMark/>
          </w:tcPr>
          <w:p w14:paraId="0A55E384" w14:textId="6C81E0D7" w:rsidR="00451BC7" w:rsidRPr="00BD6196" w:rsidRDefault="00451BC7" w:rsidP="00BD6196">
            <w:pPr>
              <w:spacing w:line="276" w:lineRule="auto"/>
              <w:rPr>
                <w:rFonts w:ascii="Arial" w:hAnsi="Arial" w:cs="Arial"/>
                <w:b/>
              </w:rPr>
            </w:pPr>
          </w:p>
        </w:tc>
        <w:tc>
          <w:tcPr>
            <w:tcW w:w="1127" w:type="dxa"/>
            <w:noWrap/>
            <w:hideMark/>
          </w:tcPr>
          <w:p w14:paraId="29B6C8B5" w14:textId="77777777" w:rsidR="00451BC7" w:rsidRPr="00BD6196" w:rsidRDefault="00451BC7" w:rsidP="00BD6196">
            <w:pPr>
              <w:spacing w:line="276" w:lineRule="auto"/>
              <w:ind w:left="360"/>
              <w:jc w:val="right"/>
              <w:rPr>
                <w:rFonts w:ascii="Arial" w:hAnsi="Arial" w:cs="Arial"/>
                <w:b/>
              </w:rPr>
            </w:pPr>
            <w:r w:rsidRPr="00BD6196">
              <w:rPr>
                <w:rFonts w:ascii="Arial" w:hAnsi="Arial" w:cs="Arial"/>
                <w:b/>
              </w:rPr>
              <w:t>15/16</w:t>
            </w:r>
          </w:p>
        </w:tc>
        <w:tc>
          <w:tcPr>
            <w:tcW w:w="1168" w:type="dxa"/>
            <w:noWrap/>
            <w:hideMark/>
          </w:tcPr>
          <w:p w14:paraId="643E81AC" w14:textId="77777777" w:rsidR="00451BC7" w:rsidRPr="00BD6196" w:rsidRDefault="00451BC7" w:rsidP="00BD6196">
            <w:pPr>
              <w:spacing w:line="276" w:lineRule="auto"/>
              <w:ind w:left="360"/>
              <w:jc w:val="right"/>
              <w:rPr>
                <w:rFonts w:ascii="Arial" w:hAnsi="Arial" w:cs="Arial"/>
                <w:b/>
              </w:rPr>
            </w:pPr>
            <w:r w:rsidRPr="00BD6196">
              <w:rPr>
                <w:rFonts w:ascii="Arial" w:hAnsi="Arial" w:cs="Arial"/>
                <w:b/>
              </w:rPr>
              <w:t>16/17</w:t>
            </w:r>
          </w:p>
        </w:tc>
        <w:tc>
          <w:tcPr>
            <w:tcW w:w="1171" w:type="dxa"/>
            <w:noWrap/>
            <w:hideMark/>
          </w:tcPr>
          <w:p w14:paraId="4D018CFC" w14:textId="77777777" w:rsidR="00451BC7" w:rsidRPr="00BD6196" w:rsidRDefault="00451BC7" w:rsidP="00BD6196">
            <w:pPr>
              <w:spacing w:line="276" w:lineRule="auto"/>
              <w:ind w:left="360"/>
              <w:jc w:val="right"/>
              <w:rPr>
                <w:rFonts w:ascii="Arial" w:hAnsi="Arial" w:cs="Arial"/>
                <w:b/>
              </w:rPr>
            </w:pPr>
            <w:r w:rsidRPr="00BD6196">
              <w:rPr>
                <w:rFonts w:ascii="Arial" w:hAnsi="Arial" w:cs="Arial"/>
                <w:b/>
              </w:rPr>
              <w:t>17/18</w:t>
            </w:r>
          </w:p>
        </w:tc>
        <w:tc>
          <w:tcPr>
            <w:tcW w:w="1127" w:type="dxa"/>
          </w:tcPr>
          <w:p w14:paraId="2B28A650" w14:textId="77217C50" w:rsidR="00451BC7" w:rsidRPr="00BD6196" w:rsidRDefault="00451BC7" w:rsidP="00BD6196">
            <w:pPr>
              <w:spacing w:line="276" w:lineRule="auto"/>
              <w:ind w:left="360"/>
              <w:jc w:val="right"/>
              <w:rPr>
                <w:rFonts w:ascii="Arial" w:hAnsi="Arial" w:cs="Arial"/>
                <w:b/>
              </w:rPr>
            </w:pPr>
            <w:r>
              <w:rPr>
                <w:rFonts w:ascii="Arial" w:hAnsi="Arial" w:cs="Arial"/>
                <w:b/>
              </w:rPr>
              <w:t>18/19</w:t>
            </w:r>
          </w:p>
        </w:tc>
      </w:tr>
      <w:tr w:rsidR="00451BC7" w:rsidRPr="00BD6196" w14:paraId="194C1718" w14:textId="639B7C5C" w:rsidTr="00451BC7">
        <w:trPr>
          <w:trHeight w:val="299"/>
          <w:jc w:val="center"/>
        </w:trPr>
        <w:tc>
          <w:tcPr>
            <w:tcW w:w="2830" w:type="dxa"/>
            <w:shd w:val="clear" w:color="auto" w:fill="DEEAF6" w:themeFill="accent5" w:themeFillTint="33"/>
            <w:noWrap/>
            <w:hideMark/>
          </w:tcPr>
          <w:p w14:paraId="61BEC9CA" w14:textId="3C661BE5" w:rsidR="00451BC7" w:rsidRPr="00BD6196" w:rsidRDefault="00451BC7" w:rsidP="00451BC7">
            <w:pPr>
              <w:spacing w:line="276" w:lineRule="auto"/>
              <w:rPr>
                <w:rFonts w:ascii="Arial" w:hAnsi="Arial" w:cs="Arial"/>
                <w:bCs/>
              </w:rPr>
            </w:pPr>
            <w:r w:rsidRPr="00BD6196">
              <w:rPr>
                <w:rFonts w:ascii="Arial" w:hAnsi="Arial" w:cs="Arial"/>
                <w:bCs/>
              </w:rPr>
              <w:t xml:space="preserve">non-pay </w:t>
            </w:r>
            <w:r>
              <w:rPr>
                <w:rFonts w:ascii="Arial" w:hAnsi="Arial" w:cs="Arial"/>
                <w:bCs/>
              </w:rPr>
              <w:t>inflation</w:t>
            </w:r>
          </w:p>
        </w:tc>
        <w:tc>
          <w:tcPr>
            <w:tcW w:w="1127" w:type="dxa"/>
            <w:shd w:val="clear" w:color="auto" w:fill="DEEAF6" w:themeFill="accent5" w:themeFillTint="33"/>
            <w:noWrap/>
            <w:hideMark/>
          </w:tcPr>
          <w:p w14:paraId="6F503561" w14:textId="713725B2" w:rsidR="00451BC7" w:rsidRPr="00451BC7" w:rsidRDefault="00451BC7" w:rsidP="00451BC7">
            <w:pPr>
              <w:spacing w:line="276" w:lineRule="auto"/>
              <w:jc w:val="right"/>
              <w:rPr>
                <w:rFonts w:ascii="Arial" w:hAnsi="Arial" w:cs="Arial"/>
                <w:bCs/>
              </w:rPr>
            </w:pPr>
            <w:r w:rsidRPr="00451BC7">
              <w:rPr>
                <w:rFonts w:ascii="Arial" w:hAnsi="Arial" w:cs="Arial"/>
              </w:rPr>
              <w:t>0.45%</w:t>
            </w:r>
          </w:p>
        </w:tc>
        <w:tc>
          <w:tcPr>
            <w:tcW w:w="1168" w:type="dxa"/>
            <w:shd w:val="clear" w:color="auto" w:fill="DEEAF6" w:themeFill="accent5" w:themeFillTint="33"/>
            <w:noWrap/>
            <w:hideMark/>
          </w:tcPr>
          <w:p w14:paraId="731CB2C3" w14:textId="103E50AC" w:rsidR="00451BC7" w:rsidRPr="00451BC7" w:rsidRDefault="00451BC7" w:rsidP="00451BC7">
            <w:pPr>
              <w:spacing w:line="276" w:lineRule="auto"/>
              <w:jc w:val="right"/>
              <w:rPr>
                <w:rFonts w:ascii="Arial" w:hAnsi="Arial" w:cs="Arial"/>
                <w:bCs/>
              </w:rPr>
            </w:pPr>
            <w:r w:rsidRPr="00451BC7">
              <w:rPr>
                <w:rFonts w:ascii="Arial" w:hAnsi="Arial" w:cs="Arial"/>
              </w:rPr>
              <w:t>2.16%</w:t>
            </w:r>
          </w:p>
        </w:tc>
        <w:tc>
          <w:tcPr>
            <w:tcW w:w="1171" w:type="dxa"/>
            <w:shd w:val="clear" w:color="auto" w:fill="DEEAF6" w:themeFill="accent5" w:themeFillTint="33"/>
            <w:noWrap/>
            <w:hideMark/>
          </w:tcPr>
          <w:p w14:paraId="2F02CBAA" w14:textId="23CD499F" w:rsidR="00451BC7" w:rsidRPr="00451BC7" w:rsidRDefault="00451BC7" w:rsidP="00451BC7">
            <w:pPr>
              <w:spacing w:line="276" w:lineRule="auto"/>
              <w:jc w:val="right"/>
              <w:rPr>
                <w:rFonts w:ascii="Arial" w:hAnsi="Arial" w:cs="Arial"/>
                <w:bCs/>
              </w:rPr>
            </w:pPr>
            <w:r w:rsidRPr="00451BC7">
              <w:rPr>
                <w:rFonts w:ascii="Arial" w:hAnsi="Arial" w:cs="Arial"/>
              </w:rPr>
              <w:t>1.07%</w:t>
            </w:r>
          </w:p>
        </w:tc>
        <w:tc>
          <w:tcPr>
            <w:tcW w:w="1127" w:type="dxa"/>
            <w:shd w:val="clear" w:color="auto" w:fill="DEEAF6" w:themeFill="accent5" w:themeFillTint="33"/>
          </w:tcPr>
          <w:p w14:paraId="5EFEB9D3" w14:textId="158E292A" w:rsidR="00451BC7" w:rsidRPr="00451BC7" w:rsidRDefault="00451BC7" w:rsidP="00451BC7">
            <w:pPr>
              <w:spacing w:line="276" w:lineRule="auto"/>
              <w:jc w:val="right"/>
              <w:rPr>
                <w:rFonts w:ascii="Arial" w:hAnsi="Arial" w:cs="Arial"/>
              </w:rPr>
            </w:pPr>
            <w:r w:rsidRPr="00451BC7">
              <w:rPr>
                <w:rFonts w:ascii="Arial" w:hAnsi="Arial" w:cs="Arial"/>
              </w:rPr>
              <w:t>2.43%</w:t>
            </w:r>
          </w:p>
        </w:tc>
      </w:tr>
      <w:tr w:rsidR="00451BC7" w:rsidRPr="00BD6196" w14:paraId="336FB1CF" w14:textId="13542CA7" w:rsidTr="00451BC7">
        <w:trPr>
          <w:trHeight w:val="299"/>
          <w:jc w:val="center"/>
        </w:trPr>
        <w:tc>
          <w:tcPr>
            <w:tcW w:w="2830" w:type="dxa"/>
            <w:shd w:val="clear" w:color="auto" w:fill="DEEAF6" w:themeFill="accent5" w:themeFillTint="33"/>
            <w:noWrap/>
            <w:hideMark/>
          </w:tcPr>
          <w:p w14:paraId="3A8A6A84" w14:textId="60A9C3C9" w:rsidR="00451BC7" w:rsidRPr="00BD6196" w:rsidRDefault="00451BC7" w:rsidP="00451BC7">
            <w:pPr>
              <w:spacing w:line="276" w:lineRule="auto"/>
              <w:rPr>
                <w:rFonts w:ascii="Arial" w:hAnsi="Arial" w:cs="Arial"/>
                <w:bCs/>
              </w:rPr>
            </w:pPr>
            <w:r w:rsidRPr="00BD6196">
              <w:rPr>
                <w:rFonts w:ascii="Arial" w:hAnsi="Arial" w:cs="Arial"/>
                <w:bCs/>
              </w:rPr>
              <w:t xml:space="preserve">pay </w:t>
            </w:r>
            <w:r>
              <w:rPr>
                <w:rFonts w:ascii="Arial" w:hAnsi="Arial" w:cs="Arial"/>
                <w:bCs/>
              </w:rPr>
              <w:t>inflation</w:t>
            </w:r>
          </w:p>
        </w:tc>
        <w:tc>
          <w:tcPr>
            <w:tcW w:w="1127" w:type="dxa"/>
            <w:shd w:val="clear" w:color="auto" w:fill="DEEAF6" w:themeFill="accent5" w:themeFillTint="33"/>
            <w:noWrap/>
            <w:hideMark/>
          </w:tcPr>
          <w:p w14:paraId="6B252DE8" w14:textId="238C8179" w:rsidR="00451BC7" w:rsidRPr="00451BC7" w:rsidRDefault="00451BC7" w:rsidP="00451BC7">
            <w:pPr>
              <w:spacing w:line="276" w:lineRule="auto"/>
              <w:jc w:val="right"/>
              <w:rPr>
                <w:rFonts w:ascii="Arial" w:hAnsi="Arial" w:cs="Arial"/>
                <w:bCs/>
              </w:rPr>
            </w:pPr>
            <w:r w:rsidRPr="00451BC7">
              <w:rPr>
                <w:rFonts w:ascii="Arial" w:hAnsi="Arial" w:cs="Arial"/>
              </w:rPr>
              <w:t>0.30%</w:t>
            </w:r>
          </w:p>
        </w:tc>
        <w:tc>
          <w:tcPr>
            <w:tcW w:w="1168" w:type="dxa"/>
            <w:shd w:val="clear" w:color="auto" w:fill="DEEAF6" w:themeFill="accent5" w:themeFillTint="33"/>
            <w:noWrap/>
            <w:hideMark/>
          </w:tcPr>
          <w:p w14:paraId="0C5F02F6" w14:textId="71B2E1FC" w:rsidR="00451BC7" w:rsidRPr="00451BC7" w:rsidRDefault="00451BC7" w:rsidP="00451BC7">
            <w:pPr>
              <w:spacing w:line="276" w:lineRule="auto"/>
              <w:jc w:val="right"/>
              <w:rPr>
                <w:rFonts w:ascii="Arial" w:hAnsi="Arial" w:cs="Arial"/>
                <w:bCs/>
              </w:rPr>
            </w:pPr>
            <w:r w:rsidRPr="00451BC7">
              <w:rPr>
                <w:rFonts w:ascii="Arial" w:hAnsi="Arial" w:cs="Arial"/>
              </w:rPr>
              <w:t>2.10%</w:t>
            </w:r>
          </w:p>
        </w:tc>
        <w:tc>
          <w:tcPr>
            <w:tcW w:w="1171" w:type="dxa"/>
            <w:shd w:val="clear" w:color="auto" w:fill="DEEAF6" w:themeFill="accent5" w:themeFillTint="33"/>
            <w:noWrap/>
            <w:hideMark/>
          </w:tcPr>
          <w:p w14:paraId="34015D93" w14:textId="3AF0CDED" w:rsidR="00451BC7" w:rsidRPr="00451BC7" w:rsidRDefault="00451BC7" w:rsidP="00451BC7">
            <w:pPr>
              <w:spacing w:line="276" w:lineRule="auto"/>
              <w:jc w:val="right"/>
              <w:rPr>
                <w:rFonts w:ascii="Arial" w:hAnsi="Arial" w:cs="Arial"/>
                <w:bCs/>
              </w:rPr>
            </w:pPr>
            <w:r w:rsidRPr="00451BC7">
              <w:rPr>
                <w:rFonts w:ascii="Arial" w:hAnsi="Arial" w:cs="Arial"/>
              </w:rPr>
              <w:t>1.22%</w:t>
            </w:r>
          </w:p>
        </w:tc>
        <w:tc>
          <w:tcPr>
            <w:tcW w:w="1127" w:type="dxa"/>
            <w:shd w:val="clear" w:color="auto" w:fill="DEEAF6" w:themeFill="accent5" w:themeFillTint="33"/>
          </w:tcPr>
          <w:p w14:paraId="1F41B82B" w14:textId="4318DF7B" w:rsidR="00451BC7" w:rsidRPr="00451BC7" w:rsidRDefault="00451BC7" w:rsidP="00451BC7">
            <w:pPr>
              <w:spacing w:line="276" w:lineRule="auto"/>
              <w:jc w:val="right"/>
              <w:rPr>
                <w:rFonts w:ascii="Arial" w:hAnsi="Arial" w:cs="Arial"/>
              </w:rPr>
            </w:pPr>
            <w:r w:rsidRPr="00451BC7">
              <w:rPr>
                <w:rFonts w:ascii="Arial" w:hAnsi="Arial" w:cs="Arial"/>
              </w:rPr>
              <w:t>2.24%</w:t>
            </w:r>
          </w:p>
        </w:tc>
      </w:tr>
      <w:tr w:rsidR="00451BC7" w:rsidRPr="00BD6196" w14:paraId="5CB5BA97" w14:textId="7E4E27CB" w:rsidTr="00451BC7">
        <w:tblPrEx>
          <w:jc w:val="left"/>
        </w:tblPrEx>
        <w:trPr>
          <w:trHeight w:val="299"/>
        </w:trPr>
        <w:tc>
          <w:tcPr>
            <w:tcW w:w="2830" w:type="dxa"/>
            <w:noWrap/>
            <w:hideMark/>
          </w:tcPr>
          <w:p w14:paraId="1EAC0F24" w14:textId="39F9F57D" w:rsidR="00451BC7" w:rsidRPr="00451BC7" w:rsidRDefault="00451BC7" w:rsidP="00451BC7">
            <w:pPr>
              <w:spacing w:line="276" w:lineRule="auto"/>
              <w:rPr>
                <w:rFonts w:ascii="Arial" w:hAnsi="Arial" w:cs="Arial"/>
                <w:b/>
                <w:bCs/>
              </w:rPr>
            </w:pPr>
            <w:r w:rsidRPr="00451BC7">
              <w:rPr>
                <w:rFonts w:ascii="Arial" w:hAnsi="Arial" w:cs="Arial"/>
                <w:b/>
                <w:bCs/>
              </w:rPr>
              <w:t xml:space="preserve">overall provider inflation </w:t>
            </w:r>
          </w:p>
        </w:tc>
        <w:tc>
          <w:tcPr>
            <w:tcW w:w="1127" w:type="dxa"/>
            <w:noWrap/>
            <w:hideMark/>
          </w:tcPr>
          <w:p w14:paraId="49CD8D6D" w14:textId="7FEB3CE2" w:rsidR="00451BC7" w:rsidRPr="00451BC7" w:rsidRDefault="00451BC7" w:rsidP="00451BC7">
            <w:pPr>
              <w:spacing w:line="276" w:lineRule="auto"/>
              <w:jc w:val="right"/>
              <w:rPr>
                <w:rFonts w:ascii="Arial" w:hAnsi="Arial" w:cs="Arial"/>
                <w:bCs/>
              </w:rPr>
            </w:pPr>
            <w:r w:rsidRPr="00451BC7">
              <w:rPr>
                <w:rFonts w:ascii="Arial" w:hAnsi="Arial" w:cs="Arial"/>
              </w:rPr>
              <w:t>0.35%</w:t>
            </w:r>
          </w:p>
        </w:tc>
        <w:tc>
          <w:tcPr>
            <w:tcW w:w="1168" w:type="dxa"/>
            <w:noWrap/>
            <w:hideMark/>
          </w:tcPr>
          <w:p w14:paraId="6DB77506" w14:textId="508CB303" w:rsidR="00451BC7" w:rsidRPr="00451BC7" w:rsidRDefault="00451BC7" w:rsidP="00451BC7">
            <w:pPr>
              <w:spacing w:line="276" w:lineRule="auto"/>
              <w:jc w:val="right"/>
              <w:rPr>
                <w:rFonts w:ascii="Arial" w:hAnsi="Arial" w:cs="Arial"/>
                <w:bCs/>
              </w:rPr>
            </w:pPr>
            <w:r w:rsidRPr="00451BC7">
              <w:rPr>
                <w:rFonts w:ascii="Arial" w:hAnsi="Arial" w:cs="Arial"/>
              </w:rPr>
              <w:t>2.12%</w:t>
            </w:r>
          </w:p>
        </w:tc>
        <w:tc>
          <w:tcPr>
            <w:tcW w:w="1171" w:type="dxa"/>
            <w:noWrap/>
            <w:hideMark/>
          </w:tcPr>
          <w:p w14:paraId="32114CA2" w14:textId="13E123A7" w:rsidR="00451BC7" w:rsidRPr="00451BC7" w:rsidRDefault="00451BC7" w:rsidP="00451BC7">
            <w:pPr>
              <w:spacing w:line="276" w:lineRule="auto"/>
              <w:jc w:val="right"/>
              <w:rPr>
                <w:rFonts w:ascii="Arial" w:hAnsi="Arial" w:cs="Arial"/>
                <w:bCs/>
              </w:rPr>
            </w:pPr>
            <w:r w:rsidRPr="00451BC7">
              <w:rPr>
                <w:rFonts w:ascii="Arial" w:hAnsi="Arial" w:cs="Arial"/>
              </w:rPr>
              <w:t>1.16%</w:t>
            </w:r>
          </w:p>
        </w:tc>
        <w:tc>
          <w:tcPr>
            <w:tcW w:w="1127" w:type="dxa"/>
          </w:tcPr>
          <w:p w14:paraId="17599CDF" w14:textId="3F21812E" w:rsidR="00451BC7" w:rsidRPr="00451BC7" w:rsidRDefault="00451BC7" w:rsidP="00451BC7">
            <w:pPr>
              <w:spacing w:line="276" w:lineRule="auto"/>
              <w:jc w:val="right"/>
              <w:rPr>
                <w:rFonts w:ascii="Arial" w:hAnsi="Arial" w:cs="Arial"/>
              </w:rPr>
            </w:pPr>
            <w:r w:rsidRPr="00451BC7">
              <w:rPr>
                <w:rFonts w:ascii="Arial" w:hAnsi="Arial" w:cs="Arial"/>
              </w:rPr>
              <w:t>2.31%</w:t>
            </w:r>
          </w:p>
        </w:tc>
      </w:tr>
    </w:tbl>
    <w:p w14:paraId="1C330A97" w14:textId="6D2A14E6" w:rsidR="00235EE6" w:rsidRPr="00BD6196" w:rsidRDefault="00235EE6" w:rsidP="00BD6196">
      <w:pPr>
        <w:spacing w:line="276" w:lineRule="auto"/>
        <w:rPr>
          <w:rFonts w:ascii="Arial" w:hAnsi="Arial" w:cs="Arial"/>
          <w:sz w:val="24"/>
        </w:rPr>
      </w:pPr>
    </w:p>
    <w:p w14:paraId="6F532DD7" w14:textId="653AC482" w:rsidR="00814861" w:rsidRPr="00BD6196" w:rsidRDefault="00235EE6" w:rsidP="00BD6196">
      <w:pPr>
        <w:spacing w:line="276" w:lineRule="auto"/>
        <w:rPr>
          <w:rFonts w:ascii="Arial" w:hAnsi="Arial" w:cs="Arial"/>
          <w:b/>
          <w:sz w:val="24"/>
        </w:rPr>
      </w:pPr>
      <w:r w:rsidRPr="00BD6196">
        <w:rPr>
          <w:rFonts w:ascii="Arial" w:hAnsi="Arial" w:cs="Arial"/>
          <w:b/>
          <w:sz w:val="24"/>
        </w:rPr>
        <w:t>G</w:t>
      </w:r>
      <w:r w:rsidR="000D6840" w:rsidRPr="00BD6196">
        <w:rPr>
          <w:rFonts w:ascii="Arial" w:hAnsi="Arial" w:cs="Arial"/>
          <w:b/>
          <w:sz w:val="24"/>
        </w:rPr>
        <w:t xml:space="preserve">eneral Practice </w:t>
      </w:r>
    </w:p>
    <w:p w14:paraId="4212BDE0" w14:textId="42EFB23E" w:rsidR="00473F9E" w:rsidRPr="00BD6196" w:rsidRDefault="00473F9E" w:rsidP="00BD6196">
      <w:pPr>
        <w:pStyle w:val="ListParagraph"/>
        <w:numPr>
          <w:ilvl w:val="0"/>
          <w:numId w:val="6"/>
        </w:numPr>
        <w:spacing w:line="276" w:lineRule="auto"/>
        <w:rPr>
          <w:rFonts w:ascii="Arial" w:hAnsi="Arial" w:cs="Arial"/>
          <w:sz w:val="24"/>
          <w:szCs w:val="24"/>
        </w:rPr>
      </w:pPr>
      <w:r w:rsidRPr="00BD6196">
        <w:rPr>
          <w:rFonts w:ascii="Arial" w:hAnsi="Arial" w:cs="Arial"/>
          <w:sz w:val="24"/>
          <w:szCs w:val="24"/>
        </w:rPr>
        <w:t>The</w:t>
      </w:r>
      <w:r w:rsidR="00390334" w:rsidRPr="00BD6196">
        <w:rPr>
          <w:rFonts w:ascii="Arial" w:hAnsi="Arial" w:cs="Arial"/>
          <w:sz w:val="24"/>
          <w:szCs w:val="24"/>
        </w:rPr>
        <w:t xml:space="preserve"> GP staff and earnings figures can be used to calculate a </w:t>
      </w:r>
      <w:proofErr w:type="spellStart"/>
      <w:r w:rsidRPr="00BD6196">
        <w:rPr>
          <w:rFonts w:ascii="Arial" w:hAnsi="Arial" w:cs="Arial"/>
          <w:sz w:val="24"/>
          <w:szCs w:val="24"/>
        </w:rPr>
        <w:t>Paasche</w:t>
      </w:r>
      <w:proofErr w:type="spellEnd"/>
      <w:r w:rsidRPr="00BD6196">
        <w:rPr>
          <w:rFonts w:ascii="Arial" w:hAnsi="Arial" w:cs="Arial"/>
          <w:sz w:val="24"/>
          <w:szCs w:val="24"/>
        </w:rPr>
        <w:t xml:space="preserve"> </w:t>
      </w:r>
      <w:r w:rsidR="00390334" w:rsidRPr="00BD6196">
        <w:rPr>
          <w:rFonts w:ascii="Arial" w:hAnsi="Arial" w:cs="Arial"/>
          <w:sz w:val="24"/>
          <w:szCs w:val="24"/>
        </w:rPr>
        <w:t>pay</w:t>
      </w:r>
      <w:r w:rsidRPr="00BD6196">
        <w:rPr>
          <w:rFonts w:ascii="Arial" w:hAnsi="Arial" w:cs="Arial"/>
          <w:sz w:val="24"/>
          <w:szCs w:val="24"/>
        </w:rPr>
        <w:t xml:space="preserve"> index </w:t>
      </w:r>
      <w:r w:rsidR="00390334" w:rsidRPr="00BD6196">
        <w:rPr>
          <w:rFonts w:ascii="Arial" w:hAnsi="Arial" w:cs="Arial"/>
          <w:sz w:val="24"/>
          <w:szCs w:val="24"/>
        </w:rPr>
        <w:t xml:space="preserve">which would </w:t>
      </w:r>
      <w:r w:rsidRPr="00BD6196">
        <w:rPr>
          <w:rFonts w:ascii="Arial" w:hAnsi="Arial" w:cs="Arial"/>
          <w:sz w:val="24"/>
          <w:szCs w:val="24"/>
        </w:rPr>
        <w:t>measure</w:t>
      </w:r>
      <w:r w:rsidR="00390334" w:rsidRPr="00BD6196">
        <w:rPr>
          <w:rFonts w:ascii="Arial" w:hAnsi="Arial" w:cs="Arial"/>
          <w:sz w:val="24"/>
          <w:szCs w:val="24"/>
        </w:rPr>
        <w:t xml:space="preserve"> </w:t>
      </w:r>
      <w:r w:rsidRPr="00BD6196">
        <w:rPr>
          <w:rFonts w:ascii="Arial" w:hAnsi="Arial" w:cs="Arial"/>
          <w:sz w:val="24"/>
          <w:szCs w:val="24"/>
        </w:rPr>
        <w:t>change</w:t>
      </w:r>
      <w:r w:rsidR="00E246EB" w:rsidRPr="00BD6196">
        <w:rPr>
          <w:rFonts w:ascii="Arial" w:hAnsi="Arial" w:cs="Arial"/>
          <w:sz w:val="24"/>
          <w:szCs w:val="24"/>
        </w:rPr>
        <w:t>s</w:t>
      </w:r>
      <w:r w:rsidRPr="00BD6196">
        <w:rPr>
          <w:rFonts w:ascii="Arial" w:hAnsi="Arial" w:cs="Arial"/>
          <w:sz w:val="24"/>
          <w:szCs w:val="24"/>
        </w:rPr>
        <w:t xml:space="preserve"> in staff unit cost</w:t>
      </w:r>
      <w:r w:rsidR="00E246EB" w:rsidRPr="00BD6196">
        <w:rPr>
          <w:rFonts w:ascii="Arial" w:hAnsi="Arial" w:cs="Arial"/>
          <w:sz w:val="24"/>
          <w:szCs w:val="24"/>
        </w:rPr>
        <w:t>s</w:t>
      </w:r>
      <w:r w:rsidRPr="00BD6196">
        <w:rPr>
          <w:rFonts w:ascii="Arial" w:hAnsi="Arial" w:cs="Arial"/>
          <w:sz w:val="24"/>
          <w:szCs w:val="24"/>
        </w:rPr>
        <w:t xml:space="preserve">, keeping staff volumes fixed, thereby </w:t>
      </w:r>
      <w:r w:rsidR="00390334" w:rsidRPr="00BD6196">
        <w:rPr>
          <w:rFonts w:ascii="Arial" w:hAnsi="Arial" w:cs="Arial"/>
          <w:sz w:val="24"/>
          <w:szCs w:val="24"/>
        </w:rPr>
        <w:t>being a deflator of pay inflation in General Practice</w:t>
      </w:r>
      <w:r w:rsidRPr="00BD6196">
        <w:rPr>
          <w:rFonts w:ascii="Arial" w:hAnsi="Arial" w:cs="Arial"/>
          <w:sz w:val="24"/>
          <w:szCs w:val="24"/>
        </w:rPr>
        <w:t xml:space="preserve">. </w:t>
      </w:r>
    </w:p>
    <w:p w14:paraId="5BA6B464" w14:textId="0282F3E5" w:rsidR="00390334" w:rsidRDefault="00390334" w:rsidP="00BD6196">
      <w:pPr>
        <w:pStyle w:val="ListParagraph"/>
        <w:spacing w:line="276" w:lineRule="auto"/>
        <w:ind w:left="360"/>
        <w:rPr>
          <w:rFonts w:ascii="Arial" w:hAnsi="Arial" w:cs="Arial"/>
          <w:sz w:val="24"/>
          <w:szCs w:val="24"/>
        </w:rPr>
      </w:pPr>
    </w:p>
    <w:p w14:paraId="67B1C050" w14:textId="38C52A27" w:rsidR="00126EB2" w:rsidRPr="00BD6196" w:rsidRDefault="00126EB2" w:rsidP="00126EB2">
      <w:pPr>
        <w:spacing w:after="0" w:line="276" w:lineRule="auto"/>
        <w:jc w:val="center"/>
        <w:rPr>
          <w:rFonts w:ascii="Arial" w:hAnsi="Arial" w:cs="Arial"/>
          <w:sz w:val="24"/>
        </w:rPr>
      </w:pPr>
      <w:r w:rsidRPr="00BD6196">
        <w:rPr>
          <w:rFonts w:ascii="Arial" w:hAnsi="Arial" w:cs="Arial"/>
          <w:sz w:val="24"/>
          <w:u w:val="single"/>
        </w:rPr>
        <w:t>Table 1</w:t>
      </w:r>
      <w:r>
        <w:rPr>
          <w:rFonts w:ascii="Arial" w:hAnsi="Arial" w:cs="Arial"/>
          <w:sz w:val="24"/>
          <w:u w:val="single"/>
        </w:rPr>
        <w:t>3</w:t>
      </w:r>
      <w:r w:rsidRPr="00BD6196">
        <w:rPr>
          <w:rFonts w:ascii="Arial" w:hAnsi="Arial" w:cs="Arial"/>
          <w:sz w:val="24"/>
          <w:u w:val="single"/>
        </w:rPr>
        <w:t xml:space="preserve">: </w:t>
      </w:r>
      <w:r>
        <w:rPr>
          <w:rFonts w:ascii="Arial" w:hAnsi="Arial" w:cs="Arial"/>
          <w:sz w:val="24"/>
          <w:u w:val="single"/>
        </w:rPr>
        <w:t>GP Pay inflation</w:t>
      </w:r>
    </w:p>
    <w:tbl>
      <w:tblPr>
        <w:tblStyle w:val="TableGrid"/>
        <w:tblW w:w="0" w:type="auto"/>
        <w:jc w:val="center"/>
        <w:tblLook w:val="04A0" w:firstRow="1" w:lastRow="0" w:firstColumn="1" w:lastColumn="0" w:noHBand="0" w:noVBand="1"/>
      </w:tblPr>
      <w:tblGrid>
        <w:gridCol w:w="1634"/>
        <w:gridCol w:w="1366"/>
        <w:gridCol w:w="1127"/>
        <w:gridCol w:w="1127"/>
        <w:gridCol w:w="1127"/>
      </w:tblGrid>
      <w:tr w:rsidR="004E73E1" w:rsidRPr="00BD6196" w14:paraId="199DA102" w14:textId="5ACFB194" w:rsidTr="0050412C">
        <w:trPr>
          <w:trHeight w:val="372"/>
          <w:jc w:val="center"/>
        </w:trPr>
        <w:tc>
          <w:tcPr>
            <w:tcW w:w="1634" w:type="dxa"/>
            <w:noWrap/>
            <w:hideMark/>
          </w:tcPr>
          <w:p w14:paraId="161D0C86" w14:textId="3366095C" w:rsidR="004E73E1" w:rsidRPr="00BD6196" w:rsidRDefault="004E73E1" w:rsidP="00BD6196">
            <w:pPr>
              <w:spacing w:line="276" w:lineRule="auto"/>
              <w:ind w:left="360"/>
              <w:rPr>
                <w:rFonts w:ascii="Arial" w:hAnsi="Arial" w:cs="Arial"/>
              </w:rPr>
            </w:pPr>
          </w:p>
        </w:tc>
        <w:tc>
          <w:tcPr>
            <w:tcW w:w="1366" w:type="dxa"/>
            <w:noWrap/>
            <w:hideMark/>
          </w:tcPr>
          <w:p w14:paraId="15DA49C4" w14:textId="77777777" w:rsidR="004E73E1" w:rsidRPr="004E73E1" w:rsidRDefault="004E73E1" w:rsidP="00BD6196">
            <w:pPr>
              <w:spacing w:line="276" w:lineRule="auto"/>
              <w:ind w:left="360"/>
              <w:rPr>
                <w:rFonts w:ascii="Arial" w:hAnsi="Arial" w:cs="Arial"/>
                <w:b/>
              </w:rPr>
            </w:pPr>
            <w:r w:rsidRPr="004E73E1">
              <w:rPr>
                <w:rFonts w:ascii="Arial" w:hAnsi="Arial" w:cs="Arial"/>
                <w:b/>
              </w:rPr>
              <w:t>15/16</w:t>
            </w:r>
          </w:p>
        </w:tc>
        <w:tc>
          <w:tcPr>
            <w:tcW w:w="1127" w:type="dxa"/>
            <w:noWrap/>
            <w:hideMark/>
          </w:tcPr>
          <w:p w14:paraId="724CAF0E" w14:textId="77777777" w:rsidR="004E73E1" w:rsidRPr="004E73E1" w:rsidRDefault="004E73E1" w:rsidP="00BD6196">
            <w:pPr>
              <w:spacing w:line="276" w:lineRule="auto"/>
              <w:ind w:left="360"/>
              <w:rPr>
                <w:rFonts w:ascii="Arial" w:hAnsi="Arial" w:cs="Arial"/>
                <w:b/>
              </w:rPr>
            </w:pPr>
            <w:r w:rsidRPr="004E73E1">
              <w:rPr>
                <w:rFonts w:ascii="Arial" w:hAnsi="Arial" w:cs="Arial"/>
                <w:b/>
              </w:rPr>
              <w:t>16/17</w:t>
            </w:r>
          </w:p>
        </w:tc>
        <w:tc>
          <w:tcPr>
            <w:tcW w:w="1127" w:type="dxa"/>
            <w:noWrap/>
            <w:hideMark/>
          </w:tcPr>
          <w:p w14:paraId="02E4978A" w14:textId="77777777" w:rsidR="004E73E1" w:rsidRPr="004E73E1" w:rsidRDefault="004E73E1" w:rsidP="00BD6196">
            <w:pPr>
              <w:spacing w:line="276" w:lineRule="auto"/>
              <w:ind w:left="360"/>
              <w:rPr>
                <w:rFonts w:ascii="Arial" w:hAnsi="Arial" w:cs="Arial"/>
                <w:b/>
              </w:rPr>
            </w:pPr>
            <w:r w:rsidRPr="004E73E1">
              <w:rPr>
                <w:rFonts w:ascii="Arial" w:hAnsi="Arial" w:cs="Arial"/>
                <w:b/>
              </w:rPr>
              <w:t>17/18</w:t>
            </w:r>
          </w:p>
        </w:tc>
        <w:tc>
          <w:tcPr>
            <w:tcW w:w="1127" w:type="dxa"/>
          </w:tcPr>
          <w:p w14:paraId="6CDC6A1C" w14:textId="27143F8C" w:rsidR="004E73E1" w:rsidRPr="004E73E1" w:rsidRDefault="004E73E1" w:rsidP="00BD6196">
            <w:pPr>
              <w:spacing w:line="276" w:lineRule="auto"/>
              <w:ind w:left="360"/>
              <w:rPr>
                <w:rFonts w:ascii="Arial" w:hAnsi="Arial" w:cs="Arial"/>
                <w:b/>
              </w:rPr>
            </w:pPr>
            <w:r w:rsidRPr="004E73E1">
              <w:rPr>
                <w:rFonts w:ascii="Arial" w:hAnsi="Arial" w:cs="Arial"/>
                <w:b/>
              </w:rPr>
              <w:t>18/19</w:t>
            </w:r>
          </w:p>
        </w:tc>
      </w:tr>
      <w:tr w:rsidR="004E73E1" w:rsidRPr="00BD6196" w14:paraId="7B210089" w14:textId="5EDFA1DE" w:rsidTr="0050412C">
        <w:trPr>
          <w:trHeight w:val="372"/>
          <w:jc w:val="center"/>
        </w:trPr>
        <w:tc>
          <w:tcPr>
            <w:tcW w:w="1634" w:type="dxa"/>
            <w:noWrap/>
            <w:hideMark/>
          </w:tcPr>
          <w:p w14:paraId="4F368BAA" w14:textId="36DB17DE" w:rsidR="004E73E1" w:rsidRPr="00BD6196" w:rsidRDefault="004E73E1" w:rsidP="004E73E1">
            <w:pPr>
              <w:spacing w:line="276" w:lineRule="auto"/>
              <w:rPr>
                <w:rFonts w:ascii="Arial" w:hAnsi="Arial" w:cs="Arial"/>
                <w:bCs/>
              </w:rPr>
            </w:pPr>
            <w:proofErr w:type="spellStart"/>
            <w:r w:rsidRPr="00BD6196">
              <w:rPr>
                <w:rFonts w:ascii="Arial" w:hAnsi="Arial" w:cs="Arial"/>
                <w:bCs/>
              </w:rPr>
              <w:t>Paasche</w:t>
            </w:r>
            <w:proofErr w:type="spellEnd"/>
            <w:r w:rsidRPr="00BD6196">
              <w:rPr>
                <w:rFonts w:ascii="Arial" w:hAnsi="Arial" w:cs="Arial"/>
                <w:bCs/>
              </w:rPr>
              <w:t xml:space="preserve"> pay</w:t>
            </w:r>
          </w:p>
        </w:tc>
        <w:tc>
          <w:tcPr>
            <w:tcW w:w="1366" w:type="dxa"/>
            <w:noWrap/>
            <w:hideMark/>
          </w:tcPr>
          <w:p w14:paraId="52EE1399" w14:textId="7134BDF6" w:rsidR="004E73E1" w:rsidRPr="004E73E1" w:rsidRDefault="004E73E1" w:rsidP="004E73E1">
            <w:pPr>
              <w:spacing w:line="276" w:lineRule="auto"/>
              <w:ind w:left="360"/>
              <w:rPr>
                <w:rFonts w:ascii="Arial" w:hAnsi="Arial" w:cs="Arial"/>
              </w:rPr>
            </w:pPr>
            <w:r w:rsidRPr="004E73E1">
              <w:rPr>
                <w:rFonts w:ascii="Arial" w:hAnsi="Arial" w:cs="Arial"/>
              </w:rPr>
              <w:t>0.8%</w:t>
            </w:r>
          </w:p>
        </w:tc>
        <w:tc>
          <w:tcPr>
            <w:tcW w:w="1127" w:type="dxa"/>
            <w:noWrap/>
            <w:hideMark/>
          </w:tcPr>
          <w:p w14:paraId="1272C4E7" w14:textId="36FCAC6D" w:rsidR="004E73E1" w:rsidRPr="004E73E1" w:rsidRDefault="004E73E1" w:rsidP="004E73E1">
            <w:pPr>
              <w:spacing w:line="276" w:lineRule="auto"/>
              <w:ind w:left="360"/>
              <w:rPr>
                <w:rFonts w:ascii="Arial" w:hAnsi="Arial" w:cs="Arial"/>
              </w:rPr>
            </w:pPr>
            <w:r w:rsidRPr="004E73E1">
              <w:rPr>
                <w:rFonts w:ascii="Arial" w:hAnsi="Arial" w:cs="Arial"/>
              </w:rPr>
              <w:t>2.8%</w:t>
            </w:r>
          </w:p>
        </w:tc>
        <w:tc>
          <w:tcPr>
            <w:tcW w:w="1127" w:type="dxa"/>
            <w:noWrap/>
            <w:hideMark/>
          </w:tcPr>
          <w:p w14:paraId="57F8901B" w14:textId="54222418" w:rsidR="004E73E1" w:rsidRPr="004E73E1" w:rsidRDefault="004E73E1" w:rsidP="004E73E1">
            <w:pPr>
              <w:spacing w:line="276" w:lineRule="auto"/>
              <w:ind w:left="360"/>
              <w:rPr>
                <w:rFonts w:ascii="Arial" w:hAnsi="Arial" w:cs="Arial"/>
              </w:rPr>
            </w:pPr>
            <w:r w:rsidRPr="004E73E1">
              <w:rPr>
                <w:rFonts w:ascii="Arial" w:hAnsi="Arial" w:cs="Arial"/>
              </w:rPr>
              <w:t>2.7%</w:t>
            </w:r>
          </w:p>
        </w:tc>
        <w:tc>
          <w:tcPr>
            <w:tcW w:w="1127" w:type="dxa"/>
          </w:tcPr>
          <w:p w14:paraId="4451987E" w14:textId="3CCF82E3" w:rsidR="004E73E1" w:rsidRPr="004E73E1" w:rsidRDefault="004E73E1" w:rsidP="004E73E1">
            <w:pPr>
              <w:spacing w:line="276" w:lineRule="auto"/>
              <w:ind w:left="360"/>
              <w:rPr>
                <w:rFonts w:ascii="Arial" w:hAnsi="Arial" w:cs="Arial"/>
              </w:rPr>
            </w:pPr>
            <w:r w:rsidRPr="004E73E1">
              <w:rPr>
                <w:rFonts w:ascii="Arial" w:hAnsi="Arial" w:cs="Arial"/>
              </w:rPr>
              <w:t>3.1%</w:t>
            </w:r>
          </w:p>
        </w:tc>
      </w:tr>
    </w:tbl>
    <w:p w14:paraId="51168D42" w14:textId="77777777" w:rsidR="00997447" w:rsidRPr="00BD6196" w:rsidRDefault="00997447" w:rsidP="00BD6196">
      <w:pPr>
        <w:pStyle w:val="ListParagraph"/>
        <w:spacing w:line="276" w:lineRule="auto"/>
        <w:ind w:left="360"/>
        <w:rPr>
          <w:rFonts w:ascii="Arial" w:hAnsi="Arial" w:cs="Arial"/>
          <w:sz w:val="24"/>
        </w:rPr>
      </w:pPr>
    </w:p>
    <w:p w14:paraId="35B593B1" w14:textId="219C3A76" w:rsidR="002C6D6C" w:rsidRDefault="007A7871" w:rsidP="00BD6196">
      <w:pPr>
        <w:pStyle w:val="ListParagraph"/>
        <w:numPr>
          <w:ilvl w:val="0"/>
          <w:numId w:val="6"/>
        </w:numPr>
        <w:spacing w:line="276" w:lineRule="auto"/>
        <w:rPr>
          <w:rFonts w:ascii="Arial" w:hAnsi="Arial" w:cs="Arial"/>
          <w:sz w:val="24"/>
        </w:rPr>
      </w:pPr>
      <w:r w:rsidRPr="00BD6196">
        <w:rPr>
          <w:rFonts w:ascii="Arial" w:hAnsi="Arial" w:cs="Arial"/>
          <w:sz w:val="24"/>
        </w:rPr>
        <w:t>However, we</w:t>
      </w:r>
      <w:r w:rsidR="00390334" w:rsidRPr="00BD6196">
        <w:rPr>
          <w:rFonts w:ascii="Arial" w:hAnsi="Arial" w:cs="Arial"/>
          <w:sz w:val="24"/>
        </w:rPr>
        <w:t xml:space="preserve"> also </w:t>
      </w:r>
      <w:r w:rsidRPr="00BD6196">
        <w:rPr>
          <w:rFonts w:ascii="Arial" w:hAnsi="Arial" w:cs="Arial"/>
          <w:sz w:val="24"/>
        </w:rPr>
        <w:t>need</w:t>
      </w:r>
      <w:r w:rsidR="00390334" w:rsidRPr="00BD6196">
        <w:rPr>
          <w:rFonts w:ascii="Arial" w:hAnsi="Arial" w:cs="Arial"/>
          <w:sz w:val="24"/>
        </w:rPr>
        <w:t xml:space="preserve"> to have a deflator for non-pay inflatio</w:t>
      </w:r>
      <w:r w:rsidR="00E246EB" w:rsidRPr="00BD6196">
        <w:rPr>
          <w:rFonts w:ascii="Arial" w:hAnsi="Arial" w:cs="Arial"/>
          <w:sz w:val="24"/>
        </w:rPr>
        <w:t>n</w:t>
      </w:r>
      <w:r w:rsidR="00390334" w:rsidRPr="00BD6196">
        <w:rPr>
          <w:rFonts w:ascii="Arial" w:hAnsi="Arial" w:cs="Arial"/>
          <w:sz w:val="24"/>
        </w:rPr>
        <w:t xml:space="preserve">. </w:t>
      </w:r>
      <w:r w:rsidR="00E246EB" w:rsidRPr="00BD6196">
        <w:rPr>
          <w:rFonts w:ascii="Arial" w:hAnsi="Arial" w:cs="Arial"/>
          <w:sz w:val="24"/>
        </w:rPr>
        <w:t xml:space="preserve">CPIH is used to deflate for non-pay inflation and the overall GP inflation index is calculated by </w:t>
      </w:r>
      <w:r w:rsidR="00390334" w:rsidRPr="00BD6196">
        <w:rPr>
          <w:rFonts w:ascii="Arial" w:hAnsi="Arial" w:cs="Arial"/>
          <w:sz w:val="24"/>
        </w:rPr>
        <w:t xml:space="preserve">weighting the </w:t>
      </w:r>
      <w:proofErr w:type="spellStart"/>
      <w:r w:rsidR="00390334" w:rsidRPr="00BD6196">
        <w:rPr>
          <w:rFonts w:ascii="Arial" w:hAnsi="Arial" w:cs="Arial"/>
          <w:sz w:val="24"/>
        </w:rPr>
        <w:t>Paasche</w:t>
      </w:r>
      <w:proofErr w:type="spellEnd"/>
      <w:r w:rsidR="00390334" w:rsidRPr="00BD6196">
        <w:rPr>
          <w:rFonts w:ascii="Arial" w:hAnsi="Arial" w:cs="Arial"/>
          <w:sz w:val="24"/>
        </w:rPr>
        <w:t xml:space="preserve"> pay by the proportion of spend on staff and thereby</w:t>
      </w:r>
      <w:r w:rsidRPr="00BD6196">
        <w:rPr>
          <w:rFonts w:ascii="Arial" w:hAnsi="Arial" w:cs="Arial"/>
          <w:sz w:val="24"/>
        </w:rPr>
        <w:t xml:space="preserve"> split</w:t>
      </w:r>
      <w:r w:rsidR="00E246EB" w:rsidRPr="00BD6196">
        <w:rPr>
          <w:rFonts w:ascii="Arial" w:hAnsi="Arial" w:cs="Arial"/>
          <w:sz w:val="24"/>
        </w:rPr>
        <w:t>ting</w:t>
      </w:r>
      <w:r w:rsidRPr="00BD6196">
        <w:rPr>
          <w:rFonts w:ascii="Arial" w:hAnsi="Arial" w:cs="Arial"/>
          <w:sz w:val="24"/>
        </w:rPr>
        <w:t xml:space="preserve"> the inflation in General Practice by staff and </w:t>
      </w:r>
      <w:r w:rsidR="00BB75E6" w:rsidRPr="00BD6196">
        <w:rPr>
          <w:rFonts w:ascii="Arial" w:hAnsi="Arial" w:cs="Arial"/>
          <w:sz w:val="24"/>
        </w:rPr>
        <w:t>non-</w:t>
      </w:r>
      <w:r w:rsidRPr="00BD6196">
        <w:rPr>
          <w:rFonts w:ascii="Arial" w:hAnsi="Arial" w:cs="Arial"/>
          <w:sz w:val="24"/>
        </w:rPr>
        <w:t xml:space="preserve">staff. </w:t>
      </w:r>
    </w:p>
    <w:p w14:paraId="017B795E" w14:textId="77777777" w:rsidR="004E73E1" w:rsidRPr="00BD6196" w:rsidRDefault="004E73E1" w:rsidP="004E73E1">
      <w:pPr>
        <w:pStyle w:val="ListParagraph"/>
        <w:spacing w:line="276" w:lineRule="auto"/>
        <w:ind w:left="360"/>
        <w:rPr>
          <w:rFonts w:ascii="Arial" w:hAnsi="Arial" w:cs="Arial"/>
          <w:sz w:val="24"/>
        </w:rPr>
      </w:pPr>
    </w:p>
    <w:p w14:paraId="68D51B78" w14:textId="39145824" w:rsidR="00126EB2" w:rsidRPr="00BD6196" w:rsidRDefault="00126EB2" w:rsidP="00126EB2">
      <w:pPr>
        <w:spacing w:after="0" w:line="276" w:lineRule="auto"/>
        <w:jc w:val="center"/>
        <w:rPr>
          <w:rFonts w:ascii="Arial" w:hAnsi="Arial" w:cs="Arial"/>
          <w:sz w:val="24"/>
        </w:rPr>
      </w:pPr>
      <w:r w:rsidRPr="00BD6196">
        <w:rPr>
          <w:rFonts w:ascii="Arial" w:hAnsi="Arial" w:cs="Arial"/>
          <w:sz w:val="24"/>
          <w:u w:val="single"/>
        </w:rPr>
        <w:t>Table 1</w:t>
      </w:r>
      <w:r>
        <w:rPr>
          <w:rFonts w:ascii="Arial" w:hAnsi="Arial" w:cs="Arial"/>
          <w:sz w:val="24"/>
          <w:u w:val="single"/>
        </w:rPr>
        <w:t>4</w:t>
      </w:r>
      <w:r w:rsidRPr="00BD6196">
        <w:rPr>
          <w:rFonts w:ascii="Arial" w:hAnsi="Arial" w:cs="Arial"/>
          <w:sz w:val="24"/>
          <w:u w:val="single"/>
        </w:rPr>
        <w:t xml:space="preserve">: </w:t>
      </w:r>
      <w:r>
        <w:rPr>
          <w:rFonts w:ascii="Arial" w:hAnsi="Arial" w:cs="Arial"/>
          <w:sz w:val="24"/>
          <w:u w:val="single"/>
        </w:rPr>
        <w:t xml:space="preserve">Overall GP </w:t>
      </w:r>
      <w:r w:rsidR="004E73E1">
        <w:rPr>
          <w:rFonts w:ascii="Arial" w:hAnsi="Arial" w:cs="Arial"/>
          <w:sz w:val="24"/>
          <w:u w:val="single"/>
        </w:rPr>
        <w:t>inflation</w:t>
      </w:r>
    </w:p>
    <w:tbl>
      <w:tblPr>
        <w:tblStyle w:val="TableGrid"/>
        <w:tblW w:w="0" w:type="auto"/>
        <w:jc w:val="center"/>
        <w:tblLook w:val="04A0" w:firstRow="1" w:lastRow="0" w:firstColumn="1" w:lastColumn="0" w:noHBand="0" w:noVBand="1"/>
      </w:tblPr>
      <w:tblGrid>
        <w:gridCol w:w="3681"/>
        <w:gridCol w:w="1127"/>
        <w:gridCol w:w="1507"/>
        <w:gridCol w:w="1127"/>
        <w:gridCol w:w="1127"/>
      </w:tblGrid>
      <w:tr w:rsidR="00C96275" w:rsidRPr="00BD6196" w14:paraId="37897AF3" w14:textId="440E3778" w:rsidTr="00C96275">
        <w:trPr>
          <w:trHeight w:val="312"/>
          <w:jc w:val="center"/>
        </w:trPr>
        <w:tc>
          <w:tcPr>
            <w:tcW w:w="3681" w:type="dxa"/>
            <w:noWrap/>
            <w:hideMark/>
          </w:tcPr>
          <w:p w14:paraId="4639A50B" w14:textId="0DE8B4A0" w:rsidR="00C96275" w:rsidRPr="00BD6196" w:rsidRDefault="00C96275" w:rsidP="00BD6196">
            <w:pPr>
              <w:spacing w:line="276" w:lineRule="auto"/>
              <w:jc w:val="both"/>
              <w:rPr>
                <w:rFonts w:ascii="Arial" w:hAnsi="Arial" w:cs="Arial"/>
                <w:b/>
              </w:rPr>
            </w:pPr>
          </w:p>
        </w:tc>
        <w:tc>
          <w:tcPr>
            <w:tcW w:w="1127" w:type="dxa"/>
            <w:noWrap/>
            <w:vAlign w:val="center"/>
            <w:hideMark/>
          </w:tcPr>
          <w:p w14:paraId="62983C56" w14:textId="77777777" w:rsidR="00C96275" w:rsidRPr="00BD6196" w:rsidRDefault="00C96275" w:rsidP="00BD6196">
            <w:pPr>
              <w:spacing w:line="276" w:lineRule="auto"/>
              <w:ind w:left="360"/>
              <w:rPr>
                <w:rFonts w:ascii="Arial" w:hAnsi="Arial" w:cs="Arial"/>
                <w:b/>
              </w:rPr>
            </w:pPr>
            <w:r w:rsidRPr="00BD6196">
              <w:rPr>
                <w:rFonts w:ascii="Arial" w:hAnsi="Arial" w:cs="Arial"/>
                <w:b/>
              </w:rPr>
              <w:t>15/16</w:t>
            </w:r>
          </w:p>
        </w:tc>
        <w:tc>
          <w:tcPr>
            <w:tcW w:w="1507" w:type="dxa"/>
            <w:noWrap/>
            <w:vAlign w:val="center"/>
            <w:hideMark/>
          </w:tcPr>
          <w:p w14:paraId="054F9872" w14:textId="77777777" w:rsidR="00C96275" w:rsidRPr="00BD6196" w:rsidRDefault="00C96275" w:rsidP="00BD6196">
            <w:pPr>
              <w:spacing w:line="276" w:lineRule="auto"/>
              <w:ind w:left="360"/>
              <w:rPr>
                <w:rFonts w:ascii="Arial" w:hAnsi="Arial" w:cs="Arial"/>
                <w:b/>
              </w:rPr>
            </w:pPr>
            <w:r w:rsidRPr="00BD6196">
              <w:rPr>
                <w:rFonts w:ascii="Arial" w:hAnsi="Arial" w:cs="Arial"/>
                <w:b/>
              </w:rPr>
              <w:t>16/17</w:t>
            </w:r>
          </w:p>
        </w:tc>
        <w:tc>
          <w:tcPr>
            <w:tcW w:w="1127" w:type="dxa"/>
            <w:noWrap/>
            <w:vAlign w:val="center"/>
            <w:hideMark/>
          </w:tcPr>
          <w:p w14:paraId="599801CA" w14:textId="77777777" w:rsidR="00C96275" w:rsidRPr="00BD6196" w:rsidRDefault="00C96275" w:rsidP="00BD6196">
            <w:pPr>
              <w:spacing w:line="276" w:lineRule="auto"/>
              <w:ind w:left="360"/>
              <w:rPr>
                <w:rFonts w:ascii="Arial" w:hAnsi="Arial" w:cs="Arial"/>
                <w:b/>
              </w:rPr>
            </w:pPr>
            <w:r w:rsidRPr="00BD6196">
              <w:rPr>
                <w:rFonts w:ascii="Arial" w:hAnsi="Arial" w:cs="Arial"/>
                <w:b/>
              </w:rPr>
              <w:t>17/18</w:t>
            </w:r>
          </w:p>
        </w:tc>
        <w:tc>
          <w:tcPr>
            <w:tcW w:w="1127" w:type="dxa"/>
          </w:tcPr>
          <w:p w14:paraId="7072E0B1" w14:textId="4ED56CEE" w:rsidR="00C96275" w:rsidRPr="00BD6196" w:rsidRDefault="00C96275" w:rsidP="00BD6196">
            <w:pPr>
              <w:spacing w:line="276" w:lineRule="auto"/>
              <w:ind w:left="360"/>
              <w:rPr>
                <w:rFonts w:ascii="Arial" w:hAnsi="Arial" w:cs="Arial"/>
                <w:b/>
              </w:rPr>
            </w:pPr>
            <w:r>
              <w:rPr>
                <w:rFonts w:ascii="Arial" w:hAnsi="Arial" w:cs="Arial"/>
                <w:b/>
              </w:rPr>
              <w:t>18/19</w:t>
            </w:r>
          </w:p>
        </w:tc>
      </w:tr>
      <w:tr w:rsidR="00C96275" w:rsidRPr="00BD6196" w14:paraId="166AB730" w14:textId="0222C7F0" w:rsidTr="00C96275">
        <w:trPr>
          <w:trHeight w:val="223"/>
          <w:jc w:val="center"/>
        </w:trPr>
        <w:tc>
          <w:tcPr>
            <w:tcW w:w="3681" w:type="dxa"/>
            <w:noWrap/>
            <w:hideMark/>
          </w:tcPr>
          <w:p w14:paraId="303E8A94" w14:textId="2B5B1D9B" w:rsidR="00C96275" w:rsidRPr="00BD6196" w:rsidRDefault="00C96275" w:rsidP="00C96275">
            <w:pPr>
              <w:spacing w:line="276" w:lineRule="auto"/>
              <w:jc w:val="right"/>
              <w:rPr>
                <w:rFonts w:ascii="Arial" w:hAnsi="Arial" w:cs="Arial"/>
              </w:rPr>
            </w:pPr>
            <w:r w:rsidRPr="00BD6196">
              <w:rPr>
                <w:rFonts w:ascii="Arial" w:hAnsi="Arial" w:cs="Arial"/>
              </w:rPr>
              <w:t>Staff</w:t>
            </w:r>
          </w:p>
        </w:tc>
        <w:tc>
          <w:tcPr>
            <w:tcW w:w="1127" w:type="dxa"/>
            <w:noWrap/>
            <w:hideMark/>
          </w:tcPr>
          <w:p w14:paraId="2BD2DD45" w14:textId="347BEE39" w:rsidR="00C96275" w:rsidRPr="00C96275" w:rsidRDefault="00C96275" w:rsidP="00C96275">
            <w:pPr>
              <w:spacing w:line="276" w:lineRule="auto"/>
              <w:ind w:left="360"/>
              <w:jc w:val="right"/>
              <w:rPr>
                <w:rFonts w:ascii="Arial" w:hAnsi="Arial" w:cs="Arial"/>
              </w:rPr>
            </w:pPr>
            <w:r w:rsidRPr="00C96275">
              <w:rPr>
                <w:rFonts w:ascii="Arial" w:hAnsi="Arial" w:cs="Arial"/>
              </w:rPr>
              <w:t>0.8%</w:t>
            </w:r>
          </w:p>
        </w:tc>
        <w:tc>
          <w:tcPr>
            <w:tcW w:w="1507" w:type="dxa"/>
            <w:noWrap/>
            <w:hideMark/>
          </w:tcPr>
          <w:p w14:paraId="537F5AF6" w14:textId="654A1873" w:rsidR="00C96275" w:rsidRPr="00C96275" w:rsidRDefault="00C96275" w:rsidP="00C96275">
            <w:pPr>
              <w:spacing w:line="276" w:lineRule="auto"/>
              <w:ind w:left="360"/>
              <w:jc w:val="right"/>
              <w:rPr>
                <w:rFonts w:ascii="Arial" w:hAnsi="Arial" w:cs="Arial"/>
              </w:rPr>
            </w:pPr>
            <w:r w:rsidRPr="00C96275">
              <w:rPr>
                <w:rFonts w:ascii="Arial" w:hAnsi="Arial" w:cs="Arial"/>
              </w:rPr>
              <w:t>2.8%</w:t>
            </w:r>
          </w:p>
        </w:tc>
        <w:tc>
          <w:tcPr>
            <w:tcW w:w="1127" w:type="dxa"/>
            <w:noWrap/>
            <w:hideMark/>
          </w:tcPr>
          <w:p w14:paraId="57D1605D" w14:textId="147B99DE" w:rsidR="00C96275" w:rsidRPr="00C96275" w:rsidRDefault="00C96275" w:rsidP="00C96275">
            <w:pPr>
              <w:spacing w:line="276" w:lineRule="auto"/>
              <w:ind w:left="360"/>
              <w:jc w:val="right"/>
              <w:rPr>
                <w:rFonts w:ascii="Arial" w:hAnsi="Arial" w:cs="Arial"/>
              </w:rPr>
            </w:pPr>
            <w:r w:rsidRPr="00C96275">
              <w:rPr>
                <w:rFonts w:ascii="Arial" w:hAnsi="Arial" w:cs="Arial"/>
              </w:rPr>
              <w:t>2.7%</w:t>
            </w:r>
          </w:p>
        </w:tc>
        <w:tc>
          <w:tcPr>
            <w:tcW w:w="1127" w:type="dxa"/>
          </w:tcPr>
          <w:p w14:paraId="0B5CE961" w14:textId="64CA9956" w:rsidR="00C96275" w:rsidRPr="00C96275" w:rsidRDefault="00C96275" w:rsidP="00C96275">
            <w:pPr>
              <w:spacing w:line="276" w:lineRule="auto"/>
              <w:ind w:left="360"/>
              <w:jc w:val="right"/>
              <w:rPr>
                <w:rFonts w:ascii="Arial" w:hAnsi="Arial" w:cs="Arial"/>
              </w:rPr>
            </w:pPr>
            <w:r w:rsidRPr="00C96275">
              <w:rPr>
                <w:rFonts w:ascii="Arial" w:hAnsi="Arial" w:cs="Arial"/>
              </w:rPr>
              <w:t>3.1%</w:t>
            </w:r>
          </w:p>
        </w:tc>
      </w:tr>
      <w:tr w:rsidR="00C96275" w:rsidRPr="00BD6196" w14:paraId="2BDB74D4" w14:textId="0671E1A5" w:rsidTr="00C96275">
        <w:trPr>
          <w:trHeight w:val="223"/>
          <w:jc w:val="center"/>
        </w:trPr>
        <w:tc>
          <w:tcPr>
            <w:tcW w:w="3681" w:type="dxa"/>
            <w:noWrap/>
            <w:hideMark/>
          </w:tcPr>
          <w:p w14:paraId="17027964" w14:textId="4343D60C" w:rsidR="00C96275" w:rsidRPr="00BD6196" w:rsidRDefault="00C96275" w:rsidP="00C96275">
            <w:pPr>
              <w:spacing w:line="276" w:lineRule="auto"/>
              <w:jc w:val="right"/>
              <w:rPr>
                <w:rFonts w:ascii="Arial" w:hAnsi="Arial" w:cs="Arial"/>
              </w:rPr>
            </w:pPr>
            <w:r w:rsidRPr="00BD6196">
              <w:rPr>
                <w:rFonts w:ascii="Arial" w:hAnsi="Arial" w:cs="Arial"/>
              </w:rPr>
              <w:t>Non-staff</w:t>
            </w:r>
          </w:p>
        </w:tc>
        <w:tc>
          <w:tcPr>
            <w:tcW w:w="1127" w:type="dxa"/>
            <w:noWrap/>
            <w:hideMark/>
          </w:tcPr>
          <w:p w14:paraId="3E9C406D" w14:textId="24C3672E" w:rsidR="00C96275" w:rsidRPr="00C96275" w:rsidRDefault="00C96275" w:rsidP="00C96275">
            <w:pPr>
              <w:spacing w:line="276" w:lineRule="auto"/>
              <w:ind w:left="360"/>
              <w:jc w:val="right"/>
              <w:rPr>
                <w:rFonts w:ascii="Arial" w:hAnsi="Arial" w:cs="Arial"/>
              </w:rPr>
            </w:pPr>
            <w:r w:rsidRPr="00C96275">
              <w:rPr>
                <w:rFonts w:ascii="Arial" w:hAnsi="Arial" w:cs="Arial"/>
              </w:rPr>
              <w:t>0.4%</w:t>
            </w:r>
          </w:p>
        </w:tc>
        <w:tc>
          <w:tcPr>
            <w:tcW w:w="1507" w:type="dxa"/>
            <w:noWrap/>
            <w:hideMark/>
          </w:tcPr>
          <w:p w14:paraId="0B60701D" w14:textId="54E286F8" w:rsidR="00C96275" w:rsidRPr="00C96275" w:rsidRDefault="00C96275" w:rsidP="00C96275">
            <w:pPr>
              <w:spacing w:line="276" w:lineRule="auto"/>
              <w:ind w:left="360"/>
              <w:jc w:val="right"/>
              <w:rPr>
                <w:rFonts w:ascii="Arial" w:hAnsi="Arial" w:cs="Arial"/>
              </w:rPr>
            </w:pPr>
            <w:r w:rsidRPr="00C96275">
              <w:rPr>
                <w:rFonts w:ascii="Arial" w:hAnsi="Arial" w:cs="Arial"/>
              </w:rPr>
              <w:t>1.4%</w:t>
            </w:r>
          </w:p>
        </w:tc>
        <w:tc>
          <w:tcPr>
            <w:tcW w:w="1127" w:type="dxa"/>
            <w:noWrap/>
            <w:hideMark/>
          </w:tcPr>
          <w:p w14:paraId="0DB9CC33" w14:textId="4620E94A" w:rsidR="00C96275" w:rsidRPr="00C96275" w:rsidRDefault="00C96275" w:rsidP="00C96275">
            <w:pPr>
              <w:spacing w:line="276" w:lineRule="auto"/>
              <w:ind w:left="360"/>
              <w:jc w:val="right"/>
              <w:rPr>
                <w:rFonts w:ascii="Arial" w:hAnsi="Arial" w:cs="Arial"/>
              </w:rPr>
            </w:pPr>
            <w:r w:rsidRPr="00C96275">
              <w:rPr>
                <w:rFonts w:ascii="Arial" w:hAnsi="Arial" w:cs="Arial"/>
              </w:rPr>
              <w:t>2.6%</w:t>
            </w:r>
          </w:p>
        </w:tc>
        <w:tc>
          <w:tcPr>
            <w:tcW w:w="1127" w:type="dxa"/>
          </w:tcPr>
          <w:p w14:paraId="59EA3246" w14:textId="77A28F46" w:rsidR="00C96275" w:rsidRPr="00C96275" w:rsidRDefault="00C96275" w:rsidP="00C96275">
            <w:pPr>
              <w:spacing w:line="276" w:lineRule="auto"/>
              <w:ind w:left="360"/>
              <w:jc w:val="right"/>
              <w:rPr>
                <w:rFonts w:ascii="Arial" w:hAnsi="Arial" w:cs="Arial"/>
              </w:rPr>
            </w:pPr>
            <w:r w:rsidRPr="00C96275">
              <w:rPr>
                <w:rFonts w:ascii="Arial" w:hAnsi="Arial" w:cs="Arial"/>
              </w:rPr>
              <w:t>2.1%</w:t>
            </w:r>
          </w:p>
        </w:tc>
      </w:tr>
      <w:tr w:rsidR="00C96275" w:rsidRPr="00BD6196" w14:paraId="1CF12DC9" w14:textId="089792FC" w:rsidTr="00C96275">
        <w:trPr>
          <w:trHeight w:val="223"/>
          <w:jc w:val="center"/>
        </w:trPr>
        <w:tc>
          <w:tcPr>
            <w:tcW w:w="3681" w:type="dxa"/>
            <w:noWrap/>
            <w:hideMark/>
          </w:tcPr>
          <w:p w14:paraId="1D1DBA9D" w14:textId="11B94C5F" w:rsidR="00C96275" w:rsidRPr="00BD6196" w:rsidRDefault="00C96275" w:rsidP="00C96275">
            <w:pPr>
              <w:spacing w:line="276" w:lineRule="auto"/>
              <w:rPr>
                <w:rFonts w:ascii="Arial" w:hAnsi="Arial" w:cs="Arial"/>
                <w:b/>
              </w:rPr>
            </w:pPr>
            <w:r w:rsidRPr="004E73E1">
              <w:rPr>
                <w:rFonts w:ascii="Arial" w:hAnsi="Arial" w:cs="Arial"/>
                <w:b/>
              </w:rPr>
              <w:t>Overall General Practice</w:t>
            </w:r>
            <w:r>
              <w:rPr>
                <w:rFonts w:ascii="Arial" w:hAnsi="Arial" w:cs="Arial"/>
                <w:b/>
              </w:rPr>
              <w:t xml:space="preserve"> inflation</w:t>
            </w:r>
          </w:p>
        </w:tc>
        <w:tc>
          <w:tcPr>
            <w:tcW w:w="1127" w:type="dxa"/>
            <w:noWrap/>
            <w:hideMark/>
          </w:tcPr>
          <w:p w14:paraId="7131B9D9" w14:textId="13651D89" w:rsidR="00C96275" w:rsidRPr="00C96275" w:rsidRDefault="00C96275" w:rsidP="00C96275">
            <w:pPr>
              <w:spacing w:line="276" w:lineRule="auto"/>
              <w:ind w:left="360"/>
              <w:jc w:val="right"/>
              <w:rPr>
                <w:rFonts w:ascii="Arial" w:hAnsi="Arial" w:cs="Arial"/>
              </w:rPr>
            </w:pPr>
            <w:r w:rsidRPr="00C96275">
              <w:rPr>
                <w:rFonts w:ascii="Arial" w:hAnsi="Arial" w:cs="Arial"/>
              </w:rPr>
              <w:t>0.7%</w:t>
            </w:r>
          </w:p>
        </w:tc>
        <w:tc>
          <w:tcPr>
            <w:tcW w:w="1507" w:type="dxa"/>
            <w:noWrap/>
            <w:hideMark/>
          </w:tcPr>
          <w:p w14:paraId="1BB3AB93" w14:textId="67E59FFF" w:rsidR="00C96275" w:rsidRPr="00C96275" w:rsidRDefault="00C96275" w:rsidP="00C96275">
            <w:pPr>
              <w:spacing w:line="276" w:lineRule="auto"/>
              <w:ind w:left="360"/>
              <w:jc w:val="right"/>
              <w:rPr>
                <w:rFonts w:ascii="Arial" w:hAnsi="Arial" w:cs="Arial"/>
              </w:rPr>
            </w:pPr>
            <w:r w:rsidRPr="00C96275">
              <w:rPr>
                <w:rFonts w:ascii="Arial" w:hAnsi="Arial" w:cs="Arial"/>
              </w:rPr>
              <w:t>2.5%</w:t>
            </w:r>
          </w:p>
        </w:tc>
        <w:tc>
          <w:tcPr>
            <w:tcW w:w="1127" w:type="dxa"/>
            <w:noWrap/>
            <w:hideMark/>
          </w:tcPr>
          <w:p w14:paraId="56C9F60D" w14:textId="507E6A07" w:rsidR="00C96275" w:rsidRPr="00C96275" w:rsidRDefault="00C96275" w:rsidP="00C96275">
            <w:pPr>
              <w:spacing w:line="276" w:lineRule="auto"/>
              <w:ind w:left="360"/>
              <w:jc w:val="right"/>
              <w:rPr>
                <w:rFonts w:ascii="Arial" w:hAnsi="Arial" w:cs="Arial"/>
              </w:rPr>
            </w:pPr>
            <w:r w:rsidRPr="00C96275">
              <w:rPr>
                <w:rFonts w:ascii="Arial" w:hAnsi="Arial" w:cs="Arial"/>
              </w:rPr>
              <w:t>2.6%</w:t>
            </w:r>
          </w:p>
        </w:tc>
        <w:tc>
          <w:tcPr>
            <w:tcW w:w="1127" w:type="dxa"/>
          </w:tcPr>
          <w:p w14:paraId="39EE7B2E" w14:textId="1CB67546" w:rsidR="00C96275" w:rsidRPr="00C96275" w:rsidRDefault="00C96275" w:rsidP="00C96275">
            <w:pPr>
              <w:spacing w:line="276" w:lineRule="auto"/>
              <w:ind w:left="360"/>
              <w:jc w:val="right"/>
              <w:rPr>
                <w:rFonts w:ascii="Arial" w:hAnsi="Arial" w:cs="Arial"/>
              </w:rPr>
            </w:pPr>
            <w:r w:rsidRPr="00C96275">
              <w:rPr>
                <w:rFonts w:ascii="Arial" w:hAnsi="Arial" w:cs="Arial"/>
              </w:rPr>
              <w:t>2.9%</w:t>
            </w:r>
          </w:p>
        </w:tc>
      </w:tr>
    </w:tbl>
    <w:p w14:paraId="300E4C37" w14:textId="62D9C1F8" w:rsidR="00126EB2" w:rsidRDefault="00126EB2" w:rsidP="00BD6196">
      <w:pPr>
        <w:spacing w:line="276" w:lineRule="auto"/>
        <w:rPr>
          <w:rFonts w:ascii="Arial" w:hAnsi="Arial" w:cs="Arial"/>
          <w:b/>
          <w:sz w:val="24"/>
        </w:rPr>
      </w:pPr>
    </w:p>
    <w:p w14:paraId="695C092D" w14:textId="36853EE6" w:rsidR="00A001EA" w:rsidRDefault="00A001EA" w:rsidP="00BD6196">
      <w:pPr>
        <w:spacing w:line="276" w:lineRule="auto"/>
        <w:rPr>
          <w:rFonts w:ascii="Arial" w:hAnsi="Arial" w:cs="Arial"/>
          <w:b/>
          <w:sz w:val="24"/>
        </w:rPr>
      </w:pPr>
    </w:p>
    <w:p w14:paraId="30CAC483" w14:textId="77777777" w:rsidR="00655F9A" w:rsidRDefault="00655F9A" w:rsidP="00BD6196">
      <w:pPr>
        <w:spacing w:line="276" w:lineRule="auto"/>
        <w:rPr>
          <w:rFonts w:ascii="Arial" w:hAnsi="Arial" w:cs="Arial"/>
          <w:b/>
          <w:sz w:val="24"/>
        </w:rPr>
      </w:pPr>
    </w:p>
    <w:p w14:paraId="303B46D7" w14:textId="0AD8FE9C" w:rsidR="000D6840" w:rsidRPr="00BD6196" w:rsidRDefault="003038FD" w:rsidP="00BD6196">
      <w:pPr>
        <w:spacing w:line="276" w:lineRule="auto"/>
        <w:rPr>
          <w:rFonts w:ascii="Arial" w:hAnsi="Arial" w:cs="Arial"/>
          <w:b/>
          <w:sz w:val="24"/>
        </w:rPr>
      </w:pPr>
      <w:r w:rsidRPr="00BD6196">
        <w:rPr>
          <w:rFonts w:ascii="Arial" w:hAnsi="Arial" w:cs="Arial"/>
          <w:b/>
          <w:sz w:val="24"/>
        </w:rPr>
        <w:lastRenderedPageBreak/>
        <w:t xml:space="preserve">Prescribing </w:t>
      </w:r>
    </w:p>
    <w:p w14:paraId="2BC07ED8" w14:textId="6D8FF2B0" w:rsidR="003038FD" w:rsidRPr="00BD6196" w:rsidRDefault="004A33E4" w:rsidP="00BD6196">
      <w:pPr>
        <w:pStyle w:val="ListParagraph"/>
        <w:numPr>
          <w:ilvl w:val="0"/>
          <w:numId w:val="6"/>
        </w:numPr>
        <w:spacing w:line="276" w:lineRule="auto"/>
        <w:rPr>
          <w:rFonts w:ascii="Arial" w:hAnsi="Arial" w:cs="Arial"/>
          <w:sz w:val="24"/>
        </w:rPr>
      </w:pPr>
      <w:r w:rsidRPr="00BD6196">
        <w:rPr>
          <w:rFonts w:ascii="Arial" w:hAnsi="Arial" w:cs="Arial"/>
          <w:sz w:val="24"/>
        </w:rPr>
        <w:t>P</w:t>
      </w:r>
      <w:r w:rsidR="00390334" w:rsidRPr="00BD6196">
        <w:rPr>
          <w:rFonts w:ascii="Arial" w:hAnsi="Arial" w:cs="Arial"/>
          <w:sz w:val="24"/>
        </w:rPr>
        <w:t>rescription unit costs</w:t>
      </w:r>
      <w:r w:rsidR="00853EC8" w:rsidRPr="00BD6196">
        <w:rPr>
          <w:rFonts w:ascii="Arial" w:hAnsi="Arial" w:cs="Arial"/>
          <w:sz w:val="24"/>
        </w:rPr>
        <w:t xml:space="preserve"> </w:t>
      </w:r>
      <w:r w:rsidR="00390334" w:rsidRPr="00BD6196">
        <w:rPr>
          <w:rFonts w:ascii="Arial" w:hAnsi="Arial" w:cs="Arial"/>
          <w:sz w:val="24"/>
        </w:rPr>
        <w:t>and volumes from PCA System can be used to calculate</w:t>
      </w:r>
      <w:r w:rsidR="00853EC8" w:rsidRPr="00BD6196">
        <w:rPr>
          <w:rFonts w:ascii="Arial" w:hAnsi="Arial" w:cs="Arial"/>
          <w:sz w:val="24"/>
        </w:rPr>
        <w:t xml:space="preserve"> a </w:t>
      </w:r>
      <w:proofErr w:type="spellStart"/>
      <w:r w:rsidR="00F62785" w:rsidRPr="00BD6196">
        <w:rPr>
          <w:rFonts w:ascii="Arial" w:hAnsi="Arial" w:cs="Arial"/>
          <w:sz w:val="24"/>
        </w:rPr>
        <w:t>Paasche</w:t>
      </w:r>
      <w:proofErr w:type="spellEnd"/>
      <w:r w:rsidR="00F62785" w:rsidRPr="00BD6196">
        <w:rPr>
          <w:rFonts w:ascii="Arial" w:hAnsi="Arial" w:cs="Arial"/>
          <w:sz w:val="24"/>
        </w:rPr>
        <w:t xml:space="preserve"> price ratio to </w:t>
      </w:r>
      <w:r w:rsidR="00853EC8" w:rsidRPr="00BD6196">
        <w:rPr>
          <w:rFonts w:ascii="Arial" w:hAnsi="Arial" w:cs="Arial"/>
          <w:sz w:val="24"/>
        </w:rPr>
        <w:t>measure price change in prescriptions</w:t>
      </w:r>
      <w:r w:rsidR="00F717FC" w:rsidRPr="00BD6196">
        <w:rPr>
          <w:rFonts w:ascii="Arial" w:hAnsi="Arial" w:cs="Arial"/>
          <w:sz w:val="24"/>
        </w:rPr>
        <w:t>, keeping prescription volumes fixed</w:t>
      </w:r>
      <w:r w:rsidR="00853EC8" w:rsidRPr="00BD6196">
        <w:rPr>
          <w:rFonts w:ascii="Arial" w:hAnsi="Arial" w:cs="Arial"/>
          <w:sz w:val="24"/>
        </w:rPr>
        <w:t xml:space="preserve">. This </w:t>
      </w:r>
      <w:r w:rsidR="0087651F" w:rsidRPr="00BD6196">
        <w:rPr>
          <w:rFonts w:ascii="Arial" w:hAnsi="Arial" w:cs="Arial"/>
          <w:sz w:val="24"/>
        </w:rPr>
        <w:t>can be</w:t>
      </w:r>
      <w:r w:rsidR="00853EC8" w:rsidRPr="00BD6196">
        <w:rPr>
          <w:rFonts w:ascii="Arial" w:hAnsi="Arial" w:cs="Arial"/>
          <w:sz w:val="24"/>
        </w:rPr>
        <w:t xml:space="preserve"> used </w:t>
      </w:r>
      <w:r w:rsidR="0087651F" w:rsidRPr="00BD6196">
        <w:rPr>
          <w:rFonts w:ascii="Arial" w:hAnsi="Arial" w:cs="Arial"/>
          <w:sz w:val="24"/>
        </w:rPr>
        <w:t xml:space="preserve">as a </w:t>
      </w:r>
      <w:r w:rsidR="00853EC8" w:rsidRPr="00BD6196">
        <w:rPr>
          <w:rFonts w:ascii="Arial" w:hAnsi="Arial" w:cs="Arial"/>
          <w:sz w:val="24"/>
        </w:rPr>
        <w:t>deflat</w:t>
      </w:r>
      <w:r w:rsidR="0087651F" w:rsidRPr="00BD6196">
        <w:rPr>
          <w:rFonts w:ascii="Arial" w:hAnsi="Arial" w:cs="Arial"/>
          <w:sz w:val="24"/>
        </w:rPr>
        <w:t xml:space="preserve">or for prescription cost </w:t>
      </w:r>
      <w:r w:rsidR="00853EC8" w:rsidRPr="00BD6196">
        <w:rPr>
          <w:rFonts w:ascii="Arial" w:hAnsi="Arial" w:cs="Arial"/>
          <w:sz w:val="24"/>
        </w:rPr>
        <w:t xml:space="preserve">inflation. </w:t>
      </w:r>
    </w:p>
    <w:p w14:paraId="0A6ED376" w14:textId="35919D40" w:rsidR="00390334" w:rsidRDefault="00390334" w:rsidP="00BD6196">
      <w:pPr>
        <w:pStyle w:val="ListParagraph"/>
        <w:spacing w:line="276" w:lineRule="auto"/>
        <w:ind w:left="360"/>
        <w:rPr>
          <w:rFonts w:ascii="Arial" w:hAnsi="Arial" w:cs="Arial"/>
          <w:sz w:val="24"/>
        </w:rPr>
      </w:pPr>
    </w:p>
    <w:p w14:paraId="7B1DABCF" w14:textId="777736FE" w:rsidR="00126EB2" w:rsidRPr="00BD6196" w:rsidRDefault="00126EB2" w:rsidP="00126EB2">
      <w:pPr>
        <w:spacing w:after="0" w:line="276" w:lineRule="auto"/>
        <w:jc w:val="center"/>
        <w:rPr>
          <w:rFonts w:ascii="Arial" w:hAnsi="Arial" w:cs="Arial"/>
          <w:sz w:val="24"/>
        </w:rPr>
      </w:pPr>
      <w:r w:rsidRPr="00BD6196">
        <w:rPr>
          <w:rFonts w:ascii="Arial" w:hAnsi="Arial" w:cs="Arial"/>
          <w:sz w:val="24"/>
          <w:u w:val="single"/>
        </w:rPr>
        <w:t>Table 1</w:t>
      </w:r>
      <w:r>
        <w:rPr>
          <w:rFonts w:ascii="Arial" w:hAnsi="Arial" w:cs="Arial"/>
          <w:sz w:val="24"/>
          <w:u w:val="single"/>
        </w:rPr>
        <w:t>5</w:t>
      </w:r>
      <w:r w:rsidRPr="00BD6196">
        <w:rPr>
          <w:rFonts w:ascii="Arial" w:hAnsi="Arial" w:cs="Arial"/>
          <w:sz w:val="24"/>
          <w:u w:val="single"/>
        </w:rPr>
        <w:t xml:space="preserve">: </w:t>
      </w:r>
      <w:r>
        <w:rPr>
          <w:rFonts w:ascii="Arial" w:hAnsi="Arial" w:cs="Arial"/>
          <w:sz w:val="24"/>
          <w:u w:val="single"/>
        </w:rPr>
        <w:t xml:space="preserve">Prescribing </w:t>
      </w:r>
      <w:r w:rsidR="004E73E1">
        <w:rPr>
          <w:rFonts w:ascii="Arial" w:hAnsi="Arial" w:cs="Arial"/>
          <w:sz w:val="24"/>
          <w:u w:val="single"/>
        </w:rPr>
        <w:t>inflation</w:t>
      </w:r>
    </w:p>
    <w:tbl>
      <w:tblPr>
        <w:tblStyle w:val="TableGrid"/>
        <w:tblW w:w="0" w:type="auto"/>
        <w:jc w:val="center"/>
        <w:tblLook w:val="04A0" w:firstRow="1" w:lastRow="0" w:firstColumn="1" w:lastColumn="0" w:noHBand="0" w:noVBand="1"/>
      </w:tblPr>
      <w:tblGrid>
        <w:gridCol w:w="2576"/>
        <w:gridCol w:w="1249"/>
        <w:gridCol w:w="1249"/>
        <w:gridCol w:w="1249"/>
        <w:gridCol w:w="1249"/>
      </w:tblGrid>
      <w:tr w:rsidR="00C96275" w:rsidRPr="00BD6196" w14:paraId="53F9CDFE" w14:textId="142644EF" w:rsidTr="0050412C">
        <w:trPr>
          <w:trHeight w:val="300"/>
          <w:jc w:val="center"/>
        </w:trPr>
        <w:tc>
          <w:tcPr>
            <w:tcW w:w="2576" w:type="dxa"/>
            <w:noWrap/>
            <w:hideMark/>
          </w:tcPr>
          <w:p w14:paraId="00B4156D" w14:textId="77777777" w:rsidR="00C96275" w:rsidRPr="00BD6196" w:rsidRDefault="00C96275" w:rsidP="00BD6196">
            <w:pPr>
              <w:spacing w:line="276" w:lineRule="auto"/>
              <w:ind w:left="360"/>
              <w:rPr>
                <w:rFonts w:ascii="Arial" w:hAnsi="Arial" w:cs="Arial"/>
                <w:bCs/>
              </w:rPr>
            </w:pPr>
            <w:r w:rsidRPr="00BD6196">
              <w:rPr>
                <w:rFonts w:ascii="Arial" w:hAnsi="Arial" w:cs="Arial"/>
                <w:bCs/>
              </w:rPr>
              <w:t> </w:t>
            </w:r>
          </w:p>
        </w:tc>
        <w:tc>
          <w:tcPr>
            <w:tcW w:w="1249" w:type="dxa"/>
            <w:noWrap/>
            <w:hideMark/>
          </w:tcPr>
          <w:p w14:paraId="17A6AE6C" w14:textId="77777777" w:rsidR="00C96275" w:rsidRPr="00BD6196" w:rsidRDefault="00C96275" w:rsidP="00BD6196">
            <w:pPr>
              <w:spacing w:line="276" w:lineRule="auto"/>
              <w:ind w:left="360"/>
              <w:rPr>
                <w:rFonts w:ascii="Arial" w:hAnsi="Arial" w:cs="Arial"/>
                <w:b/>
                <w:bCs/>
              </w:rPr>
            </w:pPr>
            <w:r w:rsidRPr="00BD6196">
              <w:rPr>
                <w:rFonts w:ascii="Arial" w:hAnsi="Arial" w:cs="Arial"/>
                <w:b/>
                <w:bCs/>
              </w:rPr>
              <w:t>15/16</w:t>
            </w:r>
          </w:p>
        </w:tc>
        <w:tc>
          <w:tcPr>
            <w:tcW w:w="1249" w:type="dxa"/>
            <w:noWrap/>
            <w:hideMark/>
          </w:tcPr>
          <w:p w14:paraId="707E2512" w14:textId="77777777" w:rsidR="00C96275" w:rsidRPr="00BD6196" w:rsidRDefault="00C96275" w:rsidP="00BD6196">
            <w:pPr>
              <w:spacing w:line="276" w:lineRule="auto"/>
              <w:ind w:left="360"/>
              <w:rPr>
                <w:rFonts w:ascii="Arial" w:hAnsi="Arial" w:cs="Arial"/>
                <w:b/>
                <w:bCs/>
              </w:rPr>
            </w:pPr>
            <w:r w:rsidRPr="00BD6196">
              <w:rPr>
                <w:rFonts w:ascii="Arial" w:hAnsi="Arial" w:cs="Arial"/>
                <w:b/>
                <w:bCs/>
              </w:rPr>
              <w:t>16/17</w:t>
            </w:r>
          </w:p>
        </w:tc>
        <w:tc>
          <w:tcPr>
            <w:tcW w:w="1249" w:type="dxa"/>
            <w:noWrap/>
            <w:hideMark/>
          </w:tcPr>
          <w:p w14:paraId="326125F4" w14:textId="77777777" w:rsidR="00C96275" w:rsidRPr="00BD6196" w:rsidRDefault="00C96275" w:rsidP="00BD6196">
            <w:pPr>
              <w:spacing w:line="276" w:lineRule="auto"/>
              <w:ind w:left="360"/>
              <w:rPr>
                <w:rFonts w:ascii="Arial" w:hAnsi="Arial" w:cs="Arial"/>
                <w:b/>
                <w:bCs/>
              </w:rPr>
            </w:pPr>
            <w:r w:rsidRPr="00BD6196">
              <w:rPr>
                <w:rFonts w:ascii="Arial" w:hAnsi="Arial" w:cs="Arial"/>
                <w:b/>
                <w:bCs/>
              </w:rPr>
              <w:t>17/18</w:t>
            </w:r>
          </w:p>
        </w:tc>
        <w:tc>
          <w:tcPr>
            <w:tcW w:w="1249" w:type="dxa"/>
          </w:tcPr>
          <w:p w14:paraId="1B2F3F7F" w14:textId="29AF2651" w:rsidR="00C96275" w:rsidRPr="00BD6196" w:rsidRDefault="00C96275" w:rsidP="00BD6196">
            <w:pPr>
              <w:spacing w:line="276" w:lineRule="auto"/>
              <w:ind w:left="360"/>
              <w:rPr>
                <w:rFonts w:ascii="Arial" w:hAnsi="Arial" w:cs="Arial"/>
                <w:b/>
                <w:bCs/>
              </w:rPr>
            </w:pPr>
            <w:r>
              <w:rPr>
                <w:rFonts w:ascii="Arial" w:hAnsi="Arial" w:cs="Arial"/>
                <w:b/>
                <w:bCs/>
              </w:rPr>
              <w:t>18/19</w:t>
            </w:r>
          </w:p>
        </w:tc>
      </w:tr>
      <w:tr w:rsidR="00C96275" w:rsidRPr="00BD6196" w14:paraId="25D4A5F3" w14:textId="7EA3A73A" w:rsidTr="0050412C">
        <w:tblPrEx>
          <w:jc w:val="left"/>
        </w:tblPrEx>
        <w:trPr>
          <w:trHeight w:val="300"/>
        </w:trPr>
        <w:tc>
          <w:tcPr>
            <w:tcW w:w="2576" w:type="dxa"/>
            <w:noWrap/>
            <w:hideMark/>
          </w:tcPr>
          <w:p w14:paraId="16E22228" w14:textId="3FDE646A" w:rsidR="00C96275" w:rsidRPr="00BD6196" w:rsidRDefault="00C96275" w:rsidP="00BD6196">
            <w:pPr>
              <w:spacing w:line="276" w:lineRule="auto"/>
              <w:jc w:val="right"/>
              <w:rPr>
                <w:rFonts w:ascii="Arial" w:eastAsia="Times New Roman" w:hAnsi="Arial" w:cs="Arial"/>
                <w:color w:val="000000"/>
                <w:lang w:eastAsia="en-GB"/>
              </w:rPr>
            </w:pPr>
            <w:proofErr w:type="spellStart"/>
            <w:r>
              <w:rPr>
                <w:rFonts w:ascii="Arial" w:eastAsia="Times New Roman" w:hAnsi="Arial" w:cs="Arial"/>
                <w:color w:val="000000"/>
                <w:lang w:eastAsia="en-GB"/>
              </w:rPr>
              <w:t>Paasche</w:t>
            </w:r>
            <w:proofErr w:type="spellEnd"/>
            <w:r>
              <w:rPr>
                <w:rFonts w:ascii="Arial" w:eastAsia="Times New Roman" w:hAnsi="Arial" w:cs="Arial"/>
                <w:color w:val="000000"/>
                <w:lang w:eastAsia="en-GB"/>
              </w:rPr>
              <w:t xml:space="preserve"> price</w:t>
            </w:r>
            <w:r w:rsidRPr="00BD6196">
              <w:rPr>
                <w:rFonts w:ascii="Arial" w:eastAsia="Times New Roman" w:hAnsi="Arial" w:cs="Arial"/>
                <w:color w:val="000000"/>
                <w:lang w:eastAsia="en-GB"/>
              </w:rPr>
              <w:t xml:space="preserve"> </w:t>
            </w:r>
            <w:r>
              <w:rPr>
                <w:rFonts w:ascii="Arial" w:eastAsia="Times New Roman" w:hAnsi="Arial" w:cs="Arial"/>
                <w:color w:val="000000"/>
                <w:lang w:eastAsia="en-GB"/>
              </w:rPr>
              <w:t>inflation</w:t>
            </w:r>
          </w:p>
        </w:tc>
        <w:tc>
          <w:tcPr>
            <w:tcW w:w="1249" w:type="dxa"/>
            <w:noWrap/>
            <w:hideMark/>
          </w:tcPr>
          <w:p w14:paraId="7C451D2A" w14:textId="77777777" w:rsidR="00C96275" w:rsidRPr="00BD6196" w:rsidRDefault="00C96275" w:rsidP="00BD6196">
            <w:pPr>
              <w:spacing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-0.1%</w:t>
            </w:r>
          </w:p>
        </w:tc>
        <w:tc>
          <w:tcPr>
            <w:tcW w:w="1249" w:type="dxa"/>
            <w:noWrap/>
            <w:hideMark/>
          </w:tcPr>
          <w:p w14:paraId="027CBCC9" w14:textId="77777777" w:rsidR="00C96275" w:rsidRPr="00BD6196" w:rsidRDefault="00C96275" w:rsidP="00BD6196">
            <w:pPr>
              <w:spacing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-7.0%</w:t>
            </w:r>
          </w:p>
        </w:tc>
        <w:tc>
          <w:tcPr>
            <w:tcW w:w="1249" w:type="dxa"/>
            <w:noWrap/>
            <w:hideMark/>
          </w:tcPr>
          <w:p w14:paraId="06632D7C" w14:textId="77777777" w:rsidR="00C96275" w:rsidRPr="00BD6196" w:rsidRDefault="00C96275" w:rsidP="00BD6196">
            <w:pPr>
              <w:spacing w:line="276" w:lineRule="auto"/>
              <w:jc w:val="right"/>
              <w:rPr>
                <w:rFonts w:ascii="Arial" w:eastAsia="Times New Roman" w:hAnsi="Arial" w:cs="Arial"/>
                <w:color w:val="000000"/>
                <w:lang w:eastAsia="en-GB"/>
              </w:rPr>
            </w:pPr>
            <w:r w:rsidRPr="00BD6196">
              <w:rPr>
                <w:rFonts w:ascii="Arial" w:eastAsia="Times New Roman" w:hAnsi="Arial" w:cs="Arial"/>
                <w:color w:val="000000"/>
                <w:lang w:eastAsia="en-GB"/>
              </w:rPr>
              <w:t>-2.6%</w:t>
            </w:r>
          </w:p>
        </w:tc>
        <w:tc>
          <w:tcPr>
            <w:tcW w:w="1249" w:type="dxa"/>
          </w:tcPr>
          <w:p w14:paraId="67534FD5" w14:textId="77777777" w:rsidR="00C96275" w:rsidRPr="00BD6196" w:rsidRDefault="00C96275" w:rsidP="00BD6196">
            <w:pPr>
              <w:spacing w:line="276" w:lineRule="auto"/>
              <w:jc w:val="right"/>
              <w:rPr>
                <w:rFonts w:ascii="Arial" w:eastAsia="Times New Roman" w:hAnsi="Arial" w:cs="Arial"/>
                <w:color w:val="000000"/>
                <w:lang w:eastAsia="en-GB"/>
              </w:rPr>
            </w:pPr>
          </w:p>
        </w:tc>
      </w:tr>
    </w:tbl>
    <w:p w14:paraId="3A021605" w14:textId="2738EE3D" w:rsidR="00E246EB" w:rsidRPr="00BD6196" w:rsidRDefault="004E73E1" w:rsidP="00C96275">
      <w:pPr>
        <w:spacing w:line="276" w:lineRule="auto"/>
        <w:rPr>
          <w:rFonts w:ascii="Arial" w:hAnsi="Arial" w:cs="Arial"/>
          <w:sz w:val="20"/>
        </w:rPr>
      </w:pPr>
      <w:r>
        <w:rPr>
          <w:rFonts w:ascii="Arial" w:hAnsi="Arial" w:cs="Arial"/>
          <w:sz w:val="20"/>
        </w:rPr>
        <w:t xml:space="preserve">Note: Prescribing data is not </w:t>
      </w:r>
      <w:r w:rsidR="00C96275">
        <w:rPr>
          <w:rFonts w:ascii="Arial" w:hAnsi="Arial" w:cs="Arial"/>
          <w:sz w:val="20"/>
        </w:rPr>
        <w:t xml:space="preserve">yet </w:t>
      </w:r>
      <w:r>
        <w:rPr>
          <w:rFonts w:ascii="Arial" w:hAnsi="Arial" w:cs="Arial"/>
          <w:sz w:val="20"/>
        </w:rPr>
        <w:t xml:space="preserve">available for 18/19. </w:t>
      </w:r>
      <w:r w:rsidR="005C693F" w:rsidRPr="00BD6196">
        <w:rPr>
          <w:rFonts w:ascii="Arial" w:hAnsi="Arial" w:cs="Arial"/>
          <w:sz w:val="20"/>
        </w:rPr>
        <w:t>Source: York CHE</w:t>
      </w:r>
      <w:r w:rsidR="00D94DBD" w:rsidRPr="00BD6196">
        <w:rPr>
          <w:rFonts w:ascii="Arial" w:hAnsi="Arial" w:cs="Arial"/>
          <w:sz w:val="20"/>
        </w:rPr>
        <w:t xml:space="preserve"> NHS</w:t>
      </w:r>
      <w:r w:rsidR="005C693F" w:rsidRPr="00BD6196">
        <w:rPr>
          <w:rFonts w:ascii="Arial" w:hAnsi="Arial" w:cs="Arial"/>
          <w:sz w:val="20"/>
        </w:rPr>
        <w:t xml:space="preserve"> Productivity Publication.</w:t>
      </w:r>
    </w:p>
    <w:p w14:paraId="43D0BB31" w14:textId="77777777" w:rsidR="00997447" w:rsidRPr="00BD6196" w:rsidRDefault="00997447" w:rsidP="00BD6196">
      <w:pPr>
        <w:spacing w:line="276" w:lineRule="auto"/>
        <w:rPr>
          <w:rFonts w:ascii="Arial" w:hAnsi="Arial" w:cs="Arial"/>
          <w:sz w:val="24"/>
        </w:rPr>
      </w:pPr>
    </w:p>
    <w:p w14:paraId="10C60238" w14:textId="4C6BA9DF" w:rsidR="003038FD" w:rsidRPr="00BD6196" w:rsidRDefault="003038FD" w:rsidP="00BD6196">
      <w:pPr>
        <w:spacing w:line="276" w:lineRule="auto"/>
        <w:rPr>
          <w:rFonts w:ascii="Arial" w:hAnsi="Arial" w:cs="Arial"/>
          <w:b/>
          <w:sz w:val="24"/>
        </w:rPr>
      </w:pPr>
      <w:r w:rsidRPr="00BD6196">
        <w:rPr>
          <w:rFonts w:ascii="Arial" w:hAnsi="Arial" w:cs="Arial"/>
          <w:b/>
          <w:sz w:val="24"/>
        </w:rPr>
        <w:t xml:space="preserve">Dentistry </w:t>
      </w:r>
    </w:p>
    <w:p w14:paraId="458F00D0" w14:textId="33EC4500" w:rsidR="00D930EE" w:rsidRPr="00D930EE" w:rsidRDefault="00D930EE" w:rsidP="00D930EE">
      <w:pPr>
        <w:pStyle w:val="ListParagraph"/>
        <w:numPr>
          <w:ilvl w:val="0"/>
          <w:numId w:val="6"/>
        </w:numPr>
        <w:spacing w:line="276" w:lineRule="auto"/>
        <w:rPr>
          <w:rFonts w:ascii="Arial" w:hAnsi="Arial" w:cs="Arial"/>
          <w:sz w:val="24"/>
          <w:szCs w:val="24"/>
        </w:rPr>
      </w:pPr>
      <w:r w:rsidRPr="00D930EE">
        <w:rPr>
          <w:rFonts w:ascii="Arial" w:hAnsi="Arial" w:cs="Arial"/>
          <w:sz w:val="24"/>
          <w:szCs w:val="24"/>
        </w:rPr>
        <w:t xml:space="preserve">The dentist volumes and unit costs can be used to </w:t>
      </w:r>
      <w:r w:rsidRPr="00D930EE">
        <w:rPr>
          <w:rFonts w:ascii="Arial" w:hAnsi="Arial" w:cs="Arial"/>
          <w:sz w:val="24"/>
        </w:rPr>
        <w:t xml:space="preserve">calculate a </w:t>
      </w:r>
      <w:proofErr w:type="spellStart"/>
      <w:r w:rsidRPr="00D930EE">
        <w:rPr>
          <w:rFonts w:ascii="Arial" w:hAnsi="Arial" w:cs="Arial"/>
          <w:sz w:val="24"/>
        </w:rPr>
        <w:t>Paasche</w:t>
      </w:r>
      <w:proofErr w:type="spellEnd"/>
      <w:r w:rsidRPr="00D930EE">
        <w:rPr>
          <w:rFonts w:ascii="Arial" w:hAnsi="Arial" w:cs="Arial"/>
          <w:sz w:val="24"/>
        </w:rPr>
        <w:t xml:space="preserve"> pay index to measure the change in dentists’ pay, keeping dentist volumes fixed. This can be used as a deflator for pay inflation in dentistry. </w:t>
      </w:r>
    </w:p>
    <w:p w14:paraId="1A1EFEBC" w14:textId="77777777" w:rsidR="00D930EE" w:rsidRDefault="00D930EE" w:rsidP="00D930EE">
      <w:pPr>
        <w:pStyle w:val="ListParagraph"/>
        <w:spacing w:line="276" w:lineRule="auto"/>
        <w:ind w:left="360"/>
        <w:rPr>
          <w:rFonts w:ascii="Arial" w:hAnsi="Arial" w:cs="Arial"/>
          <w:sz w:val="24"/>
          <w:szCs w:val="24"/>
        </w:rPr>
      </w:pPr>
    </w:p>
    <w:p w14:paraId="321F3D9A" w14:textId="77777777" w:rsidR="00D930EE" w:rsidRPr="00BD6196" w:rsidRDefault="00D930EE" w:rsidP="00D930EE">
      <w:pPr>
        <w:spacing w:after="0" w:line="276" w:lineRule="auto"/>
        <w:jc w:val="center"/>
        <w:rPr>
          <w:rFonts w:ascii="Arial" w:hAnsi="Arial" w:cs="Arial"/>
          <w:sz w:val="24"/>
        </w:rPr>
      </w:pPr>
      <w:r w:rsidRPr="00BD6196">
        <w:rPr>
          <w:rFonts w:ascii="Arial" w:hAnsi="Arial" w:cs="Arial"/>
          <w:sz w:val="24"/>
          <w:u w:val="single"/>
        </w:rPr>
        <w:t xml:space="preserve">Table: </w:t>
      </w:r>
      <w:r>
        <w:rPr>
          <w:rFonts w:ascii="Arial" w:hAnsi="Arial" w:cs="Arial"/>
          <w:sz w:val="24"/>
          <w:u w:val="single"/>
        </w:rPr>
        <w:t>Dentistry pay inflation</w:t>
      </w:r>
    </w:p>
    <w:tbl>
      <w:tblPr>
        <w:tblStyle w:val="TableGrid"/>
        <w:tblW w:w="0" w:type="auto"/>
        <w:jc w:val="center"/>
        <w:tblLook w:val="04A0" w:firstRow="1" w:lastRow="0" w:firstColumn="1" w:lastColumn="0" w:noHBand="0" w:noVBand="1"/>
      </w:tblPr>
      <w:tblGrid>
        <w:gridCol w:w="2207"/>
        <w:gridCol w:w="1347"/>
        <w:gridCol w:w="1136"/>
        <w:gridCol w:w="1106"/>
        <w:gridCol w:w="879"/>
      </w:tblGrid>
      <w:tr w:rsidR="00C96275" w:rsidRPr="00BD6196" w14:paraId="2E7F99FA" w14:textId="78BE9CFE" w:rsidTr="00C96275">
        <w:trPr>
          <w:trHeight w:val="275"/>
          <w:jc w:val="center"/>
        </w:trPr>
        <w:tc>
          <w:tcPr>
            <w:tcW w:w="2207" w:type="dxa"/>
            <w:noWrap/>
            <w:hideMark/>
          </w:tcPr>
          <w:p w14:paraId="738B0579" w14:textId="77777777" w:rsidR="00C96275" w:rsidRPr="00BD6196" w:rsidRDefault="00C96275" w:rsidP="007D4C25">
            <w:pPr>
              <w:spacing w:line="276" w:lineRule="auto"/>
              <w:rPr>
                <w:rFonts w:ascii="Arial" w:hAnsi="Arial" w:cs="Arial"/>
                <w:b/>
                <w:bCs/>
                <w:szCs w:val="24"/>
              </w:rPr>
            </w:pPr>
            <w:r w:rsidRPr="00BD6196">
              <w:rPr>
                <w:rFonts w:ascii="Arial" w:hAnsi="Arial" w:cs="Arial"/>
                <w:b/>
                <w:bCs/>
                <w:szCs w:val="24"/>
              </w:rPr>
              <w:t> </w:t>
            </w:r>
          </w:p>
        </w:tc>
        <w:tc>
          <w:tcPr>
            <w:tcW w:w="1347" w:type="dxa"/>
            <w:noWrap/>
            <w:hideMark/>
          </w:tcPr>
          <w:p w14:paraId="29494906"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15/16</w:t>
            </w:r>
          </w:p>
        </w:tc>
        <w:tc>
          <w:tcPr>
            <w:tcW w:w="1136" w:type="dxa"/>
            <w:noWrap/>
            <w:hideMark/>
          </w:tcPr>
          <w:p w14:paraId="7B83368E"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16/17</w:t>
            </w:r>
          </w:p>
        </w:tc>
        <w:tc>
          <w:tcPr>
            <w:tcW w:w="1106" w:type="dxa"/>
            <w:noWrap/>
            <w:hideMark/>
          </w:tcPr>
          <w:p w14:paraId="73D0DB72"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17/18</w:t>
            </w:r>
          </w:p>
        </w:tc>
        <w:tc>
          <w:tcPr>
            <w:tcW w:w="879" w:type="dxa"/>
          </w:tcPr>
          <w:p w14:paraId="4399C4B8" w14:textId="5987571C" w:rsidR="00C96275" w:rsidRPr="00BD6196" w:rsidRDefault="00C96275" w:rsidP="007D4C25">
            <w:pPr>
              <w:spacing w:line="276" w:lineRule="auto"/>
              <w:jc w:val="right"/>
              <w:rPr>
                <w:rFonts w:ascii="Arial" w:hAnsi="Arial" w:cs="Arial"/>
                <w:b/>
                <w:bCs/>
                <w:szCs w:val="24"/>
              </w:rPr>
            </w:pPr>
            <w:r>
              <w:rPr>
                <w:rFonts w:ascii="Arial" w:hAnsi="Arial" w:cs="Arial"/>
                <w:b/>
                <w:bCs/>
                <w:szCs w:val="24"/>
              </w:rPr>
              <w:t>18/19</w:t>
            </w:r>
          </w:p>
        </w:tc>
      </w:tr>
      <w:tr w:rsidR="00C96275" w:rsidRPr="00BD6196" w14:paraId="5D0428B9" w14:textId="7D1C97D6" w:rsidTr="00C96275">
        <w:trPr>
          <w:trHeight w:val="275"/>
          <w:jc w:val="center"/>
        </w:trPr>
        <w:tc>
          <w:tcPr>
            <w:tcW w:w="2207" w:type="dxa"/>
            <w:noWrap/>
            <w:hideMark/>
          </w:tcPr>
          <w:p w14:paraId="7042E582" w14:textId="77777777" w:rsidR="00C96275" w:rsidRPr="00BD6196" w:rsidRDefault="00C96275" w:rsidP="007D4C25">
            <w:pPr>
              <w:spacing w:line="276" w:lineRule="auto"/>
              <w:rPr>
                <w:rFonts w:ascii="Arial" w:hAnsi="Arial" w:cs="Arial"/>
                <w:bCs/>
                <w:szCs w:val="24"/>
              </w:rPr>
            </w:pPr>
            <w:proofErr w:type="spellStart"/>
            <w:r w:rsidRPr="00BD6196">
              <w:rPr>
                <w:rFonts w:ascii="Arial" w:hAnsi="Arial" w:cs="Arial"/>
                <w:bCs/>
                <w:szCs w:val="24"/>
              </w:rPr>
              <w:t>Paasche</w:t>
            </w:r>
            <w:proofErr w:type="spellEnd"/>
            <w:r w:rsidRPr="00BD6196">
              <w:rPr>
                <w:rFonts w:ascii="Arial" w:hAnsi="Arial" w:cs="Arial"/>
                <w:bCs/>
                <w:szCs w:val="24"/>
              </w:rPr>
              <w:t xml:space="preserve"> pay </w:t>
            </w:r>
          </w:p>
        </w:tc>
        <w:tc>
          <w:tcPr>
            <w:tcW w:w="1347" w:type="dxa"/>
            <w:noWrap/>
            <w:hideMark/>
          </w:tcPr>
          <w:p w14:paraId="2772CFC9" w14:textId="7E87F0F6" w:rsidR="00C96275" w:rsidRPr="00BD6196" w:rsidRDefault="00C96275" w:rsidP="007D4C25">
            <w:pPr>
              <w:spacing w:line="276" w:lineRule="auto"/>
              <w:jc w:val="right"/>
              <w:rPr>
                <w:rFonts w:ascii="Arial" w:hAnsi="Arial" w:cs="Arial"/>
                <w:szCs w:val="24"/>
              </w:rPr>
            </w:pPr>
            <w:r>
              <w:rPr>
                <w:rFonts w:ascii="Arial" w:hAnsi="Arial" w:cs="Arial"/>
              </w:rPr>
              <w:t>-1.6</w:t>
            </w:r>
            <w:r w:rsidRPr="00BD6196">
              <w:rPr>
                <w:rFonts w:ascii="Arial" w:hAnsi="Arial" w:cs="Arial"/>
              </w:rPr>
              <w:t>%</w:t>
            </w:r>
          </w:p>
        </w:tc>
        <w:tc>
          <w:tcPr>
            <w:tcW w:w="1136" w:type="dxa"/>
            <w:noWrap/>
            <w:hideMark/>
          </w:tcPr>
          <w:p w14:paraId="7A9A1F7E" w14:textId="263DCF81" w:rsidR="00C96275" w:rsidRPr="00BD6196" w:rsidRDefault="00C96275" w:rsidP="007D4C25">
            <w:pPr>
              <w:spacing w:line="276" w:lineRule="auto"/>
              <w:jc w:val="right"/>
              <w:rPr>
                <w:rFonts w:ascii="Arial" w:hAnsi="Arial" w:cs="Arial"/>
                <w:szCs w:val="24"/>
              </w:rPr>
            </w:pPr>
            <w:r w:rsidRPr="00BD6196">
              <w:rPr>
                <w:rFonts w:ascii="Arial" w:hAnsi="Arial" w:cs="Arial"/>
              </w:rPr>
              <w:t>-</w:t>
            </w:r>
            <w:r>
              <w:rPr>
                <w:rFonts w:ascii="Arial" w:hAnsi="Arial" w:cs="Arial"/>
              </w:rPr>
              <w:t>0.6</w:t>
            </w:r>
            <w:r w:rsidRPr="00BD6196">
              <w:rPr>
                <w:rFonts w:ascii="Arial" w:hAnsi="Arial" w:cs="Arial"/>
              </w:rPr>
              <w:t>%</w:t>
            </w:r>
          </w:p>
        </w:tc>
        <w:tc>
          <w:tcPr>
            <w:tcW w:w="1106" w:type="dxa"/>
            <w:noWrap/>
            <w:hideMark/>
          </w:tcPr>
          <w:p w14:paraId="05B71DF0" w14:textId="496BFE7F" w:rsidR="00C96275" w:rsidRPr="00BD6196" w:rsidRDefault="00C96275" w:rsidP="007D4C25">
            <w:pPr>
              <w:spacing w:line="276" w:lineRule="auto"/>
              <w:jc w:val="right"/>
              <w:rPr>
                <w:rFonts w:ascii="Arial" w:hAnsi="Arial" w:cs="Arial"/>
                <w:szCs w:val="24"/>
              </w:rPr>
            </w:pPr>
            <w:r>
              <w:rPr>
                <w:rFonts w:ascii="Arial" w:hAnsi="Arial" w:cs="Arial"/>
              </w:rPr>
              <w:t>-0</w:t>
            </w:r>
            <w:r w:rsidRPr="00BD6196">
              <w:rPr>
                <w:rFonts w:ascii="Arial" w:hAnsi="Arial" w:cs="Arial"/>
              </w:rPr>
              <w:t>.</w:t>
            </w:r>
            <w:r>
              <w:rPr>
                <w:rFonts w:ascii="Arial" w:hAnsi="Arial" w:cs="Arial"/>
              </w:rPr>
              <w:t>7</w:t>
            </w:r>
            <w:r w:rsidRPr="00BD6196">
              <w:rPr>
                <w:rFonts w:ascii="Arial" w:hAnsi="Arial" w:cs="Arial"/>
              </w:rPr>
              <w:t>%</w:t>
            </w:r>
          </w:p>
        </w:tc>
        <w:tc>
          <w:tcPr>
            <w:tcW w:w="879" w:type="dxa"/>
          </w:tcPr>
          <w:p w14:paraId="4CF9FA82" w14:textId="16ADF594" w:rsidR="00C96275" w:rsidRDefault="00C96275" w:rsidP="007D4C25">
            <w:pPr>
              <w:spacing w:line="276" w:lineRule="auto"/>
              <w:jc w:val="right"/>
              <w:rPr>
                <w:rFonts w:ascii="Arial" w:hAnsi="Arial" w:cs="Arial"/>
              </w:rPr>
            </w:pPr>
            <w:r>
              <w:rPr>
                <w:rFonts w:ascii="Arial" w:hAnsi="Arial" w:cs="Arial"/>
              </w:rPr>
              <w:t>-0.7%</w:t>
            </w:r>
          </w:p>
        </w:tc>
      </w:tr>
    </w:tbl>
    <w:p w14:paraId="039B2551" w14:textId="77777777" w:rsidR="00D930EE" w:rsidRDefault="00D930EE" w:rsidP="00D930EE">
      <w:pPr>
        <w:pStyle w:val="ListParagraph"/>
        <w:spacing w:before="240" w:line="276" w:lineRule="auto"/>
        <w:ind w:left="360"/>
        <w:rPr>
          <w:rFonts w:ascii="Arial" w:hAnsi="Arial" w:cs="Arial"/>
          <w:sz w:val="24"/>
        </w:rPr>
      </w:pPr>
    </w:p>
    <w:p w14:paraId="71F33B50" w14:textId="77777777" w:rsidR="00D930EE" w:rsidRPr="00370D5F" w:rsidRDefault="00D930EE" w:rsidP="00D930EE">
      <w:pPr>
        <w:pStyle w:val="ListParagraph"/>
        <w:numPr>
          <w:ilvl w:val="0"/>
          <w:numId w:val="6"/>
        </w:numPr>
        <w:spacing w:line="276" w:lineRule="auto"/>
        <w:rPr>
          <w:rFonts w:ascii="Arial" w:hAnsi="Arial" w:cs="Arial"/>
          <w:sz w:val="24"/>
        </w:rPr>
      </w:pPr>
      <w:r w:rsidRPr="00370D5F">
        <w:rPr>
          <w:rFonts w:ascii="Arial" w:hAnsi="Arial" w:cs="Arial"/>
          <w:sz w:val="24"/>
        </w:rPr>
        <w:t>CPIH is used to deflate for non-pay inflation in dentistry. The overall dentistry index is calculated by weighting the pay and non-pay deflator using the proportion of spend on these categories.</w:t>
      </w:r>
    </w:p>
    <w:p w14:paraId="1B375052" w14:textId="77777777" w:rsidR="00D930EE" w:rsidRDefault="00D930EE" w:rsidP="00D930EE">
      <w:pPr>
        <w:pStyle w:val="ListParagraph"/>
        <w:spacing w:line="276" w:lineRule="auto"/>
        <w:ind w:left="0"/>
        <w:rPr>
          <w:rFonts w:ascii="Arial" w:hAnsi="Arial" w:cs="Arial"/>
          <w:sz w:val="24"/>
        </w:rPr>
      </w:pPr>
      <w:r w:rsidRPr="00BD6196">
        <w:rPr>
          <w:rFonts w:ascii="Arial" w:hAnsi="Arial" w:cs="Arial"/>
          <w:sz w:val="24"/>
        </w:rPr>
        <w:t xml:space="preserve"> </w:t>
      </w:r>
    </w:p>
    <w:p w14:paraId="34110EC4" w14:textId="6976FDE8" w:rsidR="00D930EE" w:rsidRPr="00BD6196" w:rsidRDefault="00D930EE" w:rsidP="00D930EE">
      <w:pPr>
        <w:spacing w:after="0" w:line="276" w:lineRule="auto"/>
        <w:jc w:val="center"/>
        <w:rPr>
          <w:rFonts w:ascii="Arial" w:hAnsi="Arial" w:cs="Arial"/>
          <w:sz w:val="24"/>
        </w:rPr>
      </w:pPr>
      <w:r w:rsidRPr="00BD6196">
        <w:rPr>
          <w:rFonts w:ascii="Arial" w:hAnsi="Arial" w:cs="Arial"/>
          <w:sz w:val="24"/>
          <w:u w:val="single"/>
        </w:rPr>
        <w:t xml:space="preserve">Table: </w:t>
      </w:r>
      <w:r>
        <w:rPr>
          <w:rFonts w:ascii="Arial" w:hAnsi="Arial" w:cs="Arial"/>
          <w:sz w:val="24"/>
          <w:u w:val="single"/>
        </w:rPr>
        <w:t xml:space="preserve">Overall Dentistry </w:t>
      </w:r>
      <w:r w:rsidR="00C96275">
        <w:rPr>
          <w:rFonts w:ascii="Arial" w:hAnsi="Arial" w:cs="Arial"/>
          <w:sz w:val="24"/>
          <w:u w:val="single"/>
        </w:rPr>
        <w:t>inflation</w:t>
      </w:r>
    </w:p>
    <w:tbl>
      <w:tblPr>
        <w:tblStyle w:val="TableGrid"/>
        <w:tblW w:w="8087" w:type="dxa"/>
        <w:jc w:val="center"/>
        <w:tblLook w:val="04A0" w:firstRow="1" w:lastRow="0" w:firstColumn="1" w:lastColumn="0" w:noHBand="0" w:noVBand="1"/>
      </w:tblPr>
      <w:tblGrid>
        <w:gridCol w:w="2972"/>
        <w:gridCol w:w="1493"/>
        <w:gridCol w:w="1225"/>
        <w:gridCol w:w="1225"/>
        <w:gridCol w:w="1172"/>
      </w:tblGrid>
      <w:tr w:rsidR="00C96275" w:rsidRPr="00BD6196" w14:paraId="4E3796FA" w14:textId="55A75B67" w:rsidTr="00C96275">
        <w:trPr>
          <w:trHeight w:val="158"/>
          <w:jc w:val="center"/>
        </w:trPr>
        <w:tc>
          <w:tcPr>
            <w:tcW w:w="2972" w:type="dxa"/>
            <w:shd w:val="clear" w:color="auto" w:fill="auto"/>
            <w:noWrap/>
            <w:hideMark/>
          </w:tcPr>
          <w:p w14:paraId="0D7038CB"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 </w:t>
            </w:r>
          </w:p>
        </w:tc>
        <w:tc>
          <w:tcPr>
            <w:tcW w:w="1493" w:type="dxa"/>
            <w:shd w:val="clear" w:color="auto" w:fill="auto"/>
            <w:noWrap/>
            <w:hideMark/>
          </w:tcPr>
          <w:p w14:paraId="0DE1E1FD"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15/16</w:t>
            </w:r>
          </w:p>
        </w:tc>
        <w:tc>
          <w:tcPr>
            <w:tcW w:w="1225" w:type="dxa"/>
            <w:shd w:val="clear" w:color="auto" w:fill="auto"/>
            <w:noWrap/>
            <w:hideMark/>
          </w:tcPr>
          <w:p w14:paraId="2DA75298"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16/17</w:t>
            </w:r>
          </w:p>
        </w:tc>
        <w:tc>
          <w:tcPr>
            <w:tcW w:w="1225" w:type="dxa"/>
            <w:shd w:val="clear" w:color="auto" w:fill="auto"/>
            <w:noWrap/>
            <w:hideMark/>
          </w:tcPr>
          <w:p w14:paraId="07186717" w14:textId="77777777" w:rsidR="00C96275" w:rsidRPr="00BD6196" w:rsidRDefault="00C96275" w:rsidP="007D4C25">
            <w:pPr>
              <w:spacing w:line="276" w:lineRule="auto"/>
              <w:jc w:val="right"/>
              <w:rPr>
                <w:rFonts w:ascii="Arial" w:hAnsi="Arial" w:cs="Arial"/>
                <w:b/>
                <w:bCs/>
                <w:szCs w:val="24"/>
              </w:rPr>
            </w:pPr>
            <w:r w:rsidRPr="00BD6196">
              <w:rPr>
                <w:rFonts w:ascii="Arial" w:hAnsi="Arial" w:cs="Arial"/>
                <w:b/>
                <w:bCs/>
                <w:szCs w:val="24"/>
              </w:rPr>
              <w:t>17/18</w:t>
            </w:r>
          </w:p>
        </w:tc>
        <w:tc>
          <w:tcPr>
            <w:tcW w:w="1172" w:type="dxa"/>
          </w:tcPr>
          <w:p w14:paraId="106A6333" w14:textId="6FE78808" w:rsidR="00C96275" w:rsidRPr="00BD6196" w:rsidRDefault="00C96275" w:rsidP="007D4C25">
            <w:pPr>
              <w:spacing w:line="276" w:lineRule="auto"/>
              <w:jc w:val="right"/>
              <w:rPr>
                <w:rFonts w:ascii="Arial" w:hAnsi="Arial" w:cs="Arial"/>
                <w:b/>
                <w:bCs/>
                <w:szCs w:val="24"/>
              </w:rPr>
            </w:pPr>
            <w:r>
              <w:rPr>
                <w:rFonts w:ascii="Arial" w:hAnsi="Arial" w:cs="Arial"/>
                <w:b/>
                <w:bCs/>
                <w:szCs w:val="24"/>
              </w:rPr>
              <w:t>18/19</w:t>
            </w:r>
          </w:p>
        </w:tc>
      </w:tr>
      <w:tr w:rsidR="00C96275" w:rsidRPr="00BD6196" w14:paraId="5C3BC9B6" w14:textId="5C6C5AC4" w:rsidTr="00C96275">
        <w:trPr>
          <w:trHeight w:val="175"/>
          <w:jc w:val="center"/>
        </w:trPr>
        <w:tc>
          <w:tcPr>
            <w:tcW w:w="2972" w:type="dxa"/>
            <w:shd w:val="clear" w:color="auto" w:fill="auto"/>
            <w:noWrap/>
            <w:hideMark/>
          </w:tcPr>
          <w:p w14:paraId="45A7C272" w14:textId="79ADE369" w:rsidR="00C96275" w:rsidRPr="00BD6196" w:rsidRDefault="00C96275" w:rsidP="00C96275">
            <w:pPr>
              <w:spacing w:line="276" w:lineRule="auto"/>
              <w:jc w:val="right"/>
              <w:rPr>
                <w:rFonts w:ascii="Arial" w:hAnsi="Arial" w:cs="Arial"/>
              </w:rPr>
            </w:pPr>
            <w:r w:rsidRPr="00BD6196">
              <w:rPr>
                <w:rFonts w:ascii="Arial" w:hAnsi="Arial" w:cs="Arial"/>
              </w:rPr>
              <w:t>Staff</w:t>
            </w:r>
          </w:p>
        </w:tc>
        <w:tc>
          <w:tcPr>
            <w:tcW w:w="1493" w:type="dxa"/>
            <w:shd w:val="clear" w:color="auto" w:fill="auto"/>
            <w:noWrap/>
            <w:hideMark/>
          </w:tcPr>
          <w:p w14:paraId="306A2863" w14:textId="2696E2F9"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-1.6%</w:t>
            </w:r>
          </w:p>
        </w:tc>
        <w:tc>
          <w:tcPr>
            <w:tcW w:w="1225" w:type="dxa"/>
            <w:shd w:val="clear" w:color="auto" w:fill="auto"/>
            <w:noWrap/>
            <w:hideMark/>
          </w:tcPr>
          <w:p w14:paraId="739C3BD9" w14:textId="3858A8E9"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-0.6%</w:t>
            </w:r>
          </w:p>
        </w:tc>
        <w:tc>
          <w:tcPr>
            <w:tcW w:w="1225" w:type="dxa"/>
            <w:shd w:val="clear" w:color="auto" w:fill="auto"/>
            <w:noWrap/>
            <w:hideMark/>
          </w:tcPr>
          <w:p w14:paraId="4BB0E486" w14:textId="1B49CD53"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-0.7%</w:t>
            </w:r>
          </w:p>
        </w:tc>
        <w:tc>
          <w:tcPr>
            <w:tcW w:w="1172" w:type="dxa"/>
          </w:tcPr>
          <w:p w14:paraId="43E2F6BB" w14:textId="7956BB32"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-0.7%</w:t>
            </w:r>
          </w:p>
        </w:tc>
      </w:tr>
      <w:tr w:rsidR="00C96275" w:rsidRPr="00BD6196" w14:paraId="6028E027" w14:textId="7520427D" w:rsidTr="00C96275">
        <w:trPr>
          <w:trHeight w:val="175"/>
          <w:jc w:val="center"/>
        </w:trPr>
        <w:tc>
          <w:tcPr>
            <w:tcW w:w="2972" w:type="dxa"/>
            <w:shd w:val="clear" w:color="auto" w:fill="auto"/>
            <w:noWrap/>
            <w:hideMark/>
          </w:tcPr>
          <w:p w14:paraId="7CB62D92" w14:textId="34851552" w:rsidR="00C96275" w:rsidRPr="00BD6196" w:rsidRDefault="00C96275" w:rsidP="00C96275">
            <w:pPr>
              <w:spacing w:line="276" w:lineRule="auto"/>
              <w:jc w:val="right"/>
              <w:rPr>
                <w:rFonts w:ascii="Arial" w:hAnsi="Arial" w:cs="Arial"/>
              </w:rPr>
            </w:pPr>
            <w:r w:rsidRPr="00BD6196">
              <w:rPr>
                <w:rFonts w:ascii="Arial" w:hAnsi="Arial" w:cs="Arial"/>
              </w:rPr>
              <w:t>Non-staff</w:t>
            </w:r>
          </w:p>
        </w:tc>
        <w:tc>
          <w:tcPr>
            <w:tcW w:w="1493" w:type="dxa"/>
            <w:shd w:val="clear" w:color="auto" w:fill="auto"/>
            <w:noWrap/>
            <w:hideMark/>
          </w:tcPr>
          <w:p w14:paraId="1F8D03BE" w14:textId="4DD027D3"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0.4%</w:t>
            </w:r>
          </w:p>
        </w:tc>
        <w:tc>
          <w:tcPr>
            <w:tcW w:w="1225" w:type="dxa"/>
            <w:shd w:val="clear" w:color="auto" w:fill="auto"/>
            <w:noWrap/>
            <w:hideMark/>
          </w:tcPr>
          <w:p w14:paraId="7FD543A5" w14:textId="72930778"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1.4%</w:t>
            </w:r>
          </w:p>
        </w:tc>
        <w:tc>
          <w:tcPr>
            <w:tcW w:w="1225" w:type="dxa"/>
            <w:shd w:val="clear" w:color="auto" w:fill="auto"/>
            <w:noWrap/>
            <w:hideMark/>
          </w:tcPr>
          <w:p w14:paraId="339116EA" w14:textId="468411BA"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2.6%</w:t>
            </w:r>
          </w:p>
        </w:tc>
        <w:tc>
          <w:tcPr>
            <w:tcW w:w="1172" w:type="dxa"/>
          </w:tcPr>
          <w:p w14:paraId="71A3BE74" w14:textId="53A8D40D"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2.1%</w:t>
            </w:r>
          </w:p>
        </w:tc>
      </w:tr>
      <w:tr w:rsidR="00C96275" w:rsidRPr="00BD6196" w14:paraId="6C5803AB" w14:textId="31CE4A86" w:rsidTr="00C96275">
        <w:trPr>
          <w:trHeight w:val="175"/>
          <w:jc w:val="center"/>
        </w:trPr>
        <w:tc>
          <w:tcPr>
            <w:tcW w:w="2972" w:type="dxa"/>
            <w:shd w:val="clear" w:color="auto" w:fill="auto"/>
            <w:noWrap/>
            <w:hideMark/>
          </w:tcPr>
          <w:p w14:paraId="1B2C2D82" w14:textId="68A7E5FD" w:rsidR="00C96275" w:rsidRPr="00BD6196" w:rsidRDefault="00C96275" w:rsidP="00C96275">
            <w:pPr>
              <w:spacing w:line="276" w:lineRule="auto"/>
              <w:rPr>
                <w:rFonts w:ascii="Arial" w:hAnsi="Arial" w:cs="Arial"/>
                <w:b/>
              </w:rPr>
            </w:pPr>
            <w:r w:rsidRPr="00BD6196">
              <w:rPr>
                <w:rFonts w:ascii="Arial" w:hAnsi="Arial" w:cs="Arial"/>
                <w:b/>
              </w:rPr>
              <w:t>Overall Dentistry in</w:t>
            </w:r>
            <w:r>
              <w:rPr>
                <w:rFonts w:ascii="Arial" w:hAnsi="Arial" w:cs="Arial"/>
                <w:b/>
              </w:rPr>
              <w:t>flation</w:t>
            </w:r>
            <w:r w:rsidRPr="00BD6196">
              <w:rPr>
                <w:rFonts w:ascii="Arial" w:hAnsi="Arial" w:cs="Arial"/>
                <w:b/>
              </w:rPr>
              <w:t xml:space="preserve"> </w:t>
            </w:r>
          </w:p>
        </w:tc>
        <w:tc>
          <w:tcPr>
            <w:tcW w:w="1493" w:type="dxa"/>
            <w:shd w:val="clear" w:color="auto" w:fill="auto"/>
            <w:noWrap/>
            <w:hideMark/>
          </w:tcPr>
          <w:p w14:paraId="4529F851" w14:textId="2380A31B" w:rsidR="00C96275" w:rsidRPr="00C96275" w:rsidRDefault="00C96275" w:rsidP="00C96275">
            <w:pPr>
              <w:pStyle w:val="ListParagraph"/>
              <w:spacing w:line="276" w:lineRule="auto"/>
              <w:ind w:left="360"/>
              <w:jc w:val="right"/>
              <w:rPr>
                <w:rFonts w:ascii="Arial" w:hAnsi="Arial" w:cs="Arial"/>
                <w:b/>
              </w:rPr>
            </w:pPr>
            <w:r w:rsidRPr="00C96275">
              <w:rPr>
                <w:rFonts w:ascii="Arial" w:hAnsi="Arial" w:cs="Arial"/>
              </w:rPr>
              <w:t>-0.8%</w:t>
            </w:r>
          </w:p>
        </w:tc>
        <w:tc>
          <w:tcPr>
            <w:tcW w:w="1225" w:type="dxa"/>
            <w:shd w:val="clear" w:color="auto" w:fill="auto"/>
            <w:noWrap/>
            <w:hideMark/>
          </w:tcPr>
          <w:p w14:paraId="7628200D" w14:textId="639E8C04" w:rsidR="00C96275" w:rsidRPr="00C96275" w:rsidRDefault="00C96275" w:rsidP="00C96275">
            <w:pPr>
              <w:pStyle w:val="ListParagraph"/>
              <w:spacing w:line="276" w:lineRule="auto"/>
              <w:ind w:left="360"/>
              <w:jc w:val="right"/>
              <w:rPr>
                <w:rFonts w:ascii="Arial" w:hAnsi="Arial" w:cs="Arial"/>
                <w:b/>
              </w:rPr>
            </w:pPr>
            <w:r w:rsidRPr="00C96275">
              <w:rPr>
                <w:rFonts w:ascii="Arial" w:hAnsi="Arial" w:cs="Arial"/>
              </w:rPr>
              <w:t>0.2%</w:t>
            </w:r>
          </w:p>
        </w:tc>
        <w:tc>
          <w:tcPr>
            <w:tcW w:w="1225" w:type="dxa"/>
            <w:shd w:val="clear" w:color="auto" w:fill="auto"/>
            <w:noWrap/>
            <w:hideMark/>
          </w:tcPr>
          <w:p w14:paraId="7C6290C0" w14:textId="2837F2A9" w:rsidR="00C96275" w:rsidRPr="00C96275" w:rsidRDefault="00C96275" w:rsidP="00C96275">
            <w:pPr>
              <w:pStyle w:val="ListParagraph"/>
              <w:spacing w:line="276" w:lineRule="auto"/>
              <w:ind w:left="360"/>
              <w:jc w:val="right"/>
              <w:rPr>
                <w:rFonts w:ascii="Arial" w:hAnsi="Arial" w:cs="Arial"/>
                <w:b/>
              </w:rPr>
            </w:pPr>
            <w:r w:rsidRPr="00C96275">
              <w:rPr>
                <w:rFonts w:ascii="Arial" w:hAnsi="Arial" w:cs="Arial"/>
              </w:rPr>
              <w:t>0.7%</w:t>
            </w:r>
          </w:p>
        </w:tc>
        <w:tc>
          <w:tcPr>
            <w:tcW w:w="1172" w:type="dxa"/>
          </w:tcPr>
          <w:p w14:paraId="520DBD30" w14:textId="0564FCDD" w:rsidR="00C96275" w:rsidRPr="00C96275" w:rsidRDefault="00C96275" w:rsidP="00C96275">
            <w:pPr>
              <w:pStyle w:val="ListParagraph"/>
              <w:spacing w:line="276" w:lineRule="auto"/>
              <w:ind w:left="360"/>
              <w:jc w:val="right"/>
              <w:rPr>
                <w:rFonts w:ascii="Arial" w:hAnsi="Arial" w:cs="Arial"/>
              </w:rPr>
            </w:pPr>
            <w:r w:rsidRPr="00C96275">
              <w:rPr>
                <w:rFonts w:ascii="Arial" w:hAnsi="Arial" w:cs="Arial"/>
              </w:rPr>
              <w:t>0.5%</w:t>
            </w:r>
          </w:p>
        </w:tc>
      </w:tr>
    </w:tbl>
    <w:p w14:paraId="43B7E71F" w14:textId="478A658D" w:rsidR="00997447" w:rsidRDefault="00997447" w:rsidP="00BD6196">
      <w:pPr>
        <w:pStyle w:val="ListParagraph"/>
        <w:spacing w:line="276" w:lineRule="auto"/>
        <w:ind w:left="0"/>
        <w:rPr>
          <w:rFonts w:ascii="Arial" w:hAnsi="Arial" w:cs="Arial"/>
          <w:sz w:val="24"/>
        </w:rPr>
      </w:pPr>
    </w:p>
    <w:p w14:paraId="2366AA0A" w14:textId="349616FA" w:rsidR="00655F9A" w:rsidRDefault="00655F9A" w:rsidP="00BD6196">
      <w:pPr>
        <w:pStyle w:val="ListParagraph"/>
        <w:spacing w:line="276" w:lineRule="auto"/>
        <w:ind w:left="0"/>
        <w:rPr>
          <w:rFonts w:ascii="Arial" w:hAnsi="Arial" w:cs="Arial"/>
          <w:sz w:val="24"/>
        </w:rPr>
      </w:pPr>
    </w:p>
    <w:p w14:paraId="7CFC4A63" w14:textId="75BEA26F" w:rsidR="00655F9A" w:rsidRDefault="00655F9A" w:rsidP="00BD6196">
      <w:pPr>
        <w:pStyle w:val="ListParagraph"/>
        <w:spacing w:line="276" w:lineRule="auto"/>
        <w:ind w:left="0"/>
        <w:rPr>
          <w:rFonts w:ascii="Arial" w:hAnsi="Arial" w:cs="Arial"/>
          <w:sz w:val="24"/>
        </w:rPr>
      </w:pPr>
    </w:p>
    <w:p w14:paraId="2D6A80E0" w14:textId="69DED149" w:rsidR="00655F9A" w:rsidRDefault="00655F9A" w:rsidP="00BD6196">
      <w:pPr>
        <w:pStyle w:val="ListParagraph"/>
        <w:spacing w:line="276" w:lineRule="auto"/>
        <w:ind w:left="0"/>
        <w:rPr>
          <w:rFonts w:ascii="Arial" w:hAnsi="Arial" w:cs="Arial"/>
          <w:sz w:val="24"/>
        </w:rPr>
      </w:pPr>
    </w:p>
    <w:p w14:paraId="240FDB67" w14:textId="0F60B7E4" w:rsidR="00655F9A" w:rsidRDefault="00655F9A" w:rsidP="00BD6196">
      <w:pPr>
        <w:pStyle w:val="ListParagraph"/>
        <w:spacing w:line="276" w:lineRule="auto"/>
        <w:ind w:left="0"/>
        <w:rPr>
          <w:rFonts w:ascii="Arial" w:hAnsi="Arial" w:cs="Arial"/>
          <w:sz w:val="24"/>
        </w:rPr>
      </w:pPr>
    </w:p>
    <w:p w14:paraId="0C7B6585" w14:textId="74F261ED" w:rsidR="00655F9A" w:rsidRDefault="00655F9A" w:rsidP="00BD6196">
      <w:pPr>
        <w:pStyle w:val="ListParagraph"/>
        <w:spacing w:line="276" w:lineRule="auto"/>
        <w:ind w:left="0"/>
        <w:rPr>
          <w:rFonts w:ascii="Arial" w:hAnsi="Arial" w:cs="Arial"/>
          <w:sz w:val="24"/>
        </w:rPr>
      </w:pPr>
    </w:p>
    <w:p w14:paraId="11A3AD4C" w14:textId="4F3BFB2D" w:rsidR="00655F9A" w:rsidRDefault="00655F9A" w:rsidP="00BD6196">
      <w:pPr>
        <w:pStyle w:val="ListParagraph"/>
        <w:spacing w:line="276" w:lineRule="auto"/>
        <w:ind w:left="0"/>
        <w:rPr>
          <w:rFonts w:ascii="Arial" w:hAnsi="Arial" w:cs="Arial"/>
          <w:sz w:val="24"/>
        </w:rPr>
      </w:pPr>
    </w:p>
    <w:p w14:paraId="4B1FBA86" w14:textId="1B4383F8" w:rsidR="00655F9A" w:rsidRDefault="00655F9A" w:rsidP="00BD6196">
      <w:pPr>
        <w:pStyle w:val="ListParagraph"/>
        <w:spacing w:line="276" w:lineRule="auto"/>
        <w:ind w:left="0"/>
        <w:rPr>
          <w:rFonts w:ascii="Arial" w:hAnsi="Arial" w:cs="Arial"/>
          <w:sz w:val="24"/>
        </w:rPr>
      </w:pPr>
    </w:p>
    <w:p w14:paraId="082A7A0B" w14:textId="6098AD45" w:rsidR="00655F9A" w:rsidRDefault="00655F9A" w:rsidP="00BD6196">
      <w:pPr>
        <w:pStyle w:val="ListParagraph"/>
        <w:spacing w:line="276" w:lineRule="auto"/>
        <w:ind w:left="0"/>
        <w:rPr>
          <w:rFonts w:ascii="Arial" w:hAnsi="Arial" w:cs="Arial"/>
          <w:sz w:val="24"/>
        </w:rPr>
      </w:pPr>
    </w:p>
    <w:p w14:paraId="5C3C0F86" w14:textId="77777777" w:rsidR="00655F9A" w:rsidRPr="00BD6196" w:rsidRDefault="00655F9A" w:rsidP="00BD6196">
      <w:pPr>
        <w:pStyle w:val="ListParagraph"/>
        <w:spacing w:line="276" w:lineRule="auto"/>
        <w:ind w:left="0"/>
        <w:rPr>
          <w:rFonts w:ascii="Arial" w:hAnsi="Arial" w:cs="Arial"/>
          <w:sz w:val="24"/>
        </w:rPr>
      </w:pPr>
    </w:p>
    <w:p w14:paraId="4CD00AD0" w14:textId="2EF7794C" w:rsidR="002C6D6C" w:rsidRPr="00BD6196" w:rsidRDefault="00740795" w:rsidP="00BD6196">
      <w:pPr>
        <w:spacing w:line="276" w:lineRule="auto"/>
        <w:rPr>
          <w:rFonts w:ascii="Arial" w:hAnsi="Arial" w:cs="Arial"/>
          <w:b/>
          <w:sz w:val="28"/>
        </w:rPr>
      </w:pPr>
      <w:r w:rsidRPr="00BD6196">
        <w:rPr>
          <w:rFonts w:ascii="Arial" w:hAnsi="Arial" w:cs="Arial"/>
          <w:b/>
          <w:sz w:val="28"/>
        </w:rPr>
        <w:lastRenderedPageBreak/>
        <w:t xml:space="preserve">Overall </w:t>
      </w:r>
      <w:r w:rsidR="00D633E8">
        <w:rPr>
          <w:rFonts w:ascii="Arial" w:hAnsi="Arial" w:cs="Arial"/>
          <w:b/>
          <w:sz w:val="28"/>
        </w:rPr>
        <w:t>NHS</w:t>
      </w:r>
      <w:r w:rsidR="009161BA">
        <w:rPr>
          <w:rFonts w:ascii="Arial" w:hAnsi="Arial" w:cs="Arial"/>
          <w:b/>
          <w:sz w:val="28"/>
        </w:rPr>
        <w:t>CII</w:t>
      </w:r>
    </w:p>
    <w:p w14:paraId="78AE2C03" w14:textId="611DE5FE" w:rsidR="00740795" w:rsidRDefault="00740795" w:rsidP="00BD6196">
      <w:pPr>
        <w:pStyle w:val="ListParagraph"/>
        <w:numPr>
          <w:ilvl w:val="0"/>
          <w:numId w:val="6"/>
        </w:numPr>
        <w:spacing w:line="276" w:lineRule="auto"/>
        <w:rPr>
          <w:rFonts w:ascii="Arial" w:hAnsi="Arial" w:cs="Arial"/>
          <w:sz w:val="24"/>
        </w:rPr>
      </w:pPr>
      <w:r w:rsidRPr="00BD6196">
        <w:rPr>
          <w:rFonts w:ascii="Arial" w:hAnsi="Arial" w:cs="Arial"/>
          <w:sz w:val="24"/>
        </w:rPr>
        <w:t>The</w:t>
      </w:r>
      <w:r w:rsidR="001646A2">
        <w:rPr>
          <w:rFonts w:ascii="Arial" w:hAnsi="Arial" w:cs="Arial"/>
          <w:sz w:val="24"/>
        </w:rPr>
        <w:t xml:space="preserve"> </w:t>
      </w:r>
      <w:r w:rsidR="001646A2" w:rsidRPr="00BD6196">
        <w:rPr>
          <w:rFonts w:ascii="Arial" w:hAnsi="Arial" w:cs="Arial"/>
          <w:sz w:val="24"/>
        </w:rPr>
        <w:t>overall NHS inflation</w:t>
      </w:r>
      <w:r w:rsidR="001646A2">
        <w:rPr>
          <w:rFonts w:ascii="Arial" w:hAnsi="Arial" w:cs="Arial"/>
          <w:sz w:val="24"/>
        </w:rPr>
        <w:t xml:space="preserve"> is calculated using the weighted harmonic mean method</w:t>
      </w:r>
      <w:r w:rsidR="001646A2">
        <w:rPr>
          <w:rStyle w:val="FootnoteReference"/>
          <w:rFonts w:ascii="Arial" w:hAnsi="Arial" w:cs="Arial"/>
          <w:sz w:val="24"/>
        </w:rPr>
        <w:footnoteReference w:id="3"/>
      </w:r>
      <w:r w:rsidR="001646A2">
        <w:rPr>
          <w:rFonts w:ascii="Arial" w:hAnsi="Arial" w:cs="Arial"/>
          <w:sz w:val="24"/>
        </w:rPr>
        <w:t xml:space="preserve"> by weighing </w:t>
      </w:r>
      <w:r w:rsidRPr="00BD6196">
        <w:rPr>
          <w:rFonts w:ascii="Arial" w:hAnsi="Arial" w:cs="Arial"/>
          <w:sz w:val="24"/>
        </w:rPr>
        <w:t xml:space="preserve">individual </w:t>
      </w:r>
      <w:r w:rsidR="00D633E8">
        <w:rPr>
          <w:rFonts w:ascii="Arial" w:hAnsi="Arial" w:cs="Arial"/>
          <w:sz w:val="24"/>
        </w:rPr>
        <w:t>inflation</w:t>
      </w:r>
      <w:r w:rsidRPr="00BD6196">
        <w:rPr>
          <w:rFonts w:ascii="Arial" w:hAnsi="Arial" w:cs="Arial"/>
          <w:sz w:val="24"/>
        </w:rPr>
        <w:t xml:space="preserve"> indices against </w:t>
      </w:r>
      <w:proofErr w:type="gramStart"/>
      <w:r w:rsidRPr="00BD6196">
        <w:rPr>
          <w:rFonts w:ascii="Arial" w:hAnsi="Arial" w:cs="Arial"/>
          <w:sz w:val="24"/>
        </w:rPr>
        <w:t>their</w:t>
      </w:r>
      <w:proofErr w:type="gramEnd"/>
      <w:r w:rsidRPr="00BD6196">
        <w:rPr>
          <w:rFonts w:ascii="Arial" w:hAnsi="Arial" w:cs="Arial"/>
          <w:sz w:val="24"/>
        </w:rPr>
        <w:t xml:space="preserve"> spend proportions. </w:t>
      </w:r>
    </w:p>
    <w:p w14:paraId="4709279A" w14:textId="236A0BE7" w:rsidR="00003872" w:rsidRDefault="00003872" w:rsidP="00003872">
      <w:pPr>
        <w:pStyle w:val="ListParagraph"/>
        <w:spacing w:line="276" w:lineRule="auto"/>
        <w:ind w:left="360"/>
        <w:rPr>
          <w:rFonts w:ascii="Arial" w:hAnsi="Arial" w:cs="Arial"/>
          <w:sz w:val="24"/>
        </w:rPr>
      </w:pPr>
    </w:p>
    <w:p w14:paraId="13F0CA13" w14:textId="2F6E2EB8" w:rsidR="00126EB2" w:rsidRPr="00126EB2" w:rsidRDefault="00126EB2" w:rsidP="00126EB2">
      <w:pPr>
        <w:pStyle w:val="ListParagraph"/>
        <w:spacing w:after="0" w:line="276" w:lineRule="auto"/>
        <w:ind w:left="360"/>
        <w:jc w:val="center"/>
        <w:rPr>
          <w:rFonts w:ascii="Arial" w:hAnsi="Arial" w:cs="Arial"/>
          <w:sz w:val="24"/>
        </w:rPr>
      </w:pPr>
      <w:r w:rsidRPr="00126EB2">
        <w:rPr>
          <w:rFonts w:ascii="Arial" w:hAnsi="Arial" w:cs="Arial"/>
          <w:sz w:val="24"/>
          <w:u w:val="single"/>
        </w:rPr>
        <w:t>Table 1</w:t>
      </w:r>
      <w:r>
        <w:rPr>
          <w:rFonts w:ascii="Arial" w:hAnsi="Arial" w:cs="Arial"/>
          <w:sz w:val="24"/>
          <w:u w:val="single"/>
        </w:rPr>
        <w:t>9</w:t>
      </w:r>
      <w:r w:rsidRPr="00126EB2">
        <w:rPr>
          <w:rFonts w:ascii="Arial" w:hAnsi="Arial" w:cs="Arial"/>
          <w:sz w:val="24"/>
          <w:u w:val="single"/>
        </w:rPr>
        <w:t xml:space="preserve">: </w:t>
      </w:r>
      <w:r>
        <w:rPr>
          <w:rFonts w:ascii="Arial" w:hAnsi="Arial" w:cs="Arial"/>
          <w:sz w:val="24"/>
          <w:u w:val="single"/>
        </w:rPr>
        <w:t>NHS spend proportions</w:t>
      </w:r>
    </w:p>
    <w:tbl>
      <w:tblPr>
        <w:tblStyle w:val="TableGrid"/>
        <w:tblW w:w="0" w:type="auto"/>
        <w:jc w:val="center"/>
        <w:tblLook w:val="04A0" w:firstRow="1" w:lastRow="0" w:firstColumn="1" w:lastColumn="0" w:noHBand="0" w:noVBand="1"/>
      </w:tblPr>
      <w:tblGrid>
        <w:gridCol w:w="2219"/>
        <w:gridCol w:w="1654"/>
        <w:gridCol w:w="1432"/>
        <w:gridCol w:w="1371"/>
        <w:gridCol w:w="1371"/>
      </w:tblGrid>
      <w:tr w:rsidR="00C96275" w:rsidRPr="00BD6196" w14:paraId="65EAA9D2" w14:textId="648591A7" w:rsidTr="0050412C">
        <w:trPr>
          <w:trHeight w:val="272"/>
          <w:jc w:val="center"/>
        </w:trPr>
        <w:tc>
          <w:tcPr>
            <w:tcW w:w="2219" w:type="dxa"/>
            <w:noWrap/>
            <w:hideMark/>
          </w:tcPr>
          <w:p w14:paraId="27DE2D9D" w14:textId="1BEB963E" w:rsidR="00C96275" w:rsidRPr="00BD6196" w:rsidRDefault="00A001EA" w:rsidP="00BD6196">
            <w:pPr>
              <w:spacing w:line="276" w:lineRule="auto"/>
              <w:jc w:val="right"/>
              <w:rPr>
                <w:rFonts w:ascii="Arial" w:hAnsi="Arial" w:cs="Arial"/>
                <w:b/>
                <w:bCs/>
              </w:rPr>
            </w:pPr>
            <w:r>
              <w:rPr>
                <w:rFonts w:ascii="Arial" w:hAnsi="Arial" w:cs="Arial"/>
                <w:b/>
                <w:bCs/>
              </w:rPr>
              <w:t>Expenditure share</w:t>
            </w:r>
          </w:p>
        </w:tc>
        <w:tc>
          <w:tcPr>
            <w:tcW w:w="1654" w:type="dxa"/>
            <w:hideMark/>
          </w:tcPr>
          <w:p w14:paraId="1188953D"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15/16</w:t>
            </w:r>
          </w:p>
        </w:tc>
        <w:tc>
          <w:tcPr>
            <w:tcW w:w="1432" w:type="dxa"/>
            <w:hideMark/>
          </w:tcPr>
          <w:p w14:paraId="3FD1F74A"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16/17</w:t>
            </w:r>
          </w:p>
        </w:tc>
        <w:tc>
          <w:tcPr>
            <w:tcW w:w="1371" w:type="dxa"/>
            <w:hideMark/>
          </w:tcPr>
          <w:p w14:paraId="75089936"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17/18</w:t>
            </w:r>
          </w:p>
        </w:tc>
        <w:tc>
          <w:tcPr>
            <w:tcW w:w="1371" w:type="dxa"/>
          </w:tcPr>
          <w:p w14:paraId="7331AC26" w14:textId="3E93D85E" w:rsidR="00C96275" w:rsidRPr="00BD6196" w:rsidRDefault="00C96275" w:rsidP="00BD6196">
            <w:pPr>
              <w:spacing w:line="276" w:lineRule="auto"/>
              <w:jc w:val="right"/>
              <w:rPr>
                <w:rFonts w:ascii="Arial" w:hAnsi="Arial" w:cs="Arial"/>
                <w:b/>
                <w:bCs/>
              </w:rPr>
            </w:pPr>
            <w:r>
              <w:rPr>
                <w:rFonts w:ascii="Arial" w:hAnsi="Arial" w:cs="Arial"/>
                <w:b/>
                <w:bCs/>
              </w:rPr>
              <w:t>18/19</w:t>
            </w:r>
          </w:p>
        </w:tc>
      </w:tr>
      <w:tr w:rsidR="00C96275" w:rsidRPr="00BD6196" w14:paraId="6A7A422E" w14:textId="53A63101" w:rsidTr="0050412C">
        <w:trPr>
          <w:trHeight w:val="272"/>
          <w:jc w:val="center"/>
        </w:trPr>
        <w:tc>
          <w:tcPr>
            <w:tcW w:w="2219" w:type="dxa"/>
            <w:noWrap/>
            <w:hideMark/>
          </w:tcPr>
          <w:p w14:paraId="7681CB35" w14:textId="77777777" w:rsidR="00C96275" w:rsidRPr="00BD6196" w:rsidRDefault="00C96275" w:rsidP="00C96275">
            <w:pPr>
              <w:spacing w:line="276" w:lineRule="auto"/>
              <w:jc w:val="right"/>
              <w:rPr>
                <w:rFonts w:ascii="Arial" w:hAnsi="Arial" w:cs="Arial"/>
              </w:rPr>
            </w:pPr>
            <w:r w:rsidRPr="00BD6196">
              <w:rPr>
                <w:rFonts w:ascii="Arial" w:hAnsi="Arial" w:cs="Arial"/>
              </w:rPr>
              <w:t>NHS Providers</w:t>
            </w:r>
          </w:p>
        </w:tc>
        <w:tc>
          <w:tcPr>
            <w:tcW w:w="1654" w:type="dxa"/>
            <w:noWrap/>
            <w:hideMark/>
          </w:tcPr>
          <w:p w14:paraId="6C5D9C00" w14:textId="04514A64" w:rsidR="00C96275" w:rsidRPr="00C96275" w:rsidRDefault="00C96275" w:rsidP="00C96275">
            <w:pPr>
              <w:spacing w:line="276" w:lineRule="auto"/>
              <w:jc w:val="right"/>
              <w:rPr>
                <w:rFonts w:ascii="Arial" w:hAnsi="Arial" w:cs="Arial"/>
              </w:rPr>
            </w:pPr>
            <w:r w:rsidRPr="00C96275">
              <w:rPr>
                <w:rFonts w:ascii="Arial" w:hAnsi="Arial" w:cs="Arial"/>
              </w:rPr>
              <w:t>80.2%</w:t>
            </w:r>
          </w:p>
        </w:tc>
        <w:tc>
          <w:tcPr>
            <w:tcW w:w="1432" w:type="dxa"/>
            <w:noWrap/>
            <w:hideMark/>
          </w:tcPr>
          <w:p w14:paraId="5E368DA1" w14:textId="2D92758A" w:rsidR="00C96275" w:rsidRPr="00C96275" w:rsidRDefault="00C96275" w:rsidP="00C96275">
            <w:pPr>
              <w:spacing w:line="276" w:lineRule="auto"/>
              <w:jc w:val="right"/>
              <w:rPr>
                <w:rFonts w:ascii="Arial" w:hAnsi="Arial" w:cs="Arial"/>
              </w:rPr>
            </w:pPr>
            <w:r w:rsidRPr="00C96275">
              <w:rPr>
                <w:rFonts w:ascii="Arial" w:hAnsi="Arial" w:cs="Arial"/>
              </w:rPr>
              <w:t>80.4%</w:t>
            </w:r>
          </w:p>
        </w:tc>
        <w:tc>
          <w:tcPr>
            <w:tcW w:w="1371" w:type="dxa"/>
            <w:noWrap/>
            <w:hideMark/>
          </w:tcPr>
          <w:p w14:paraId="6DE44D66" w14:textId="1F429E40" w:rsidR="00C96275" w:rsidRPr="00C96275" w:rsidRDefault="00C96275" w:rsidP="00C96275">
            <w:pPr>
              <w:spacing w:line="276" w:lineRule="auto"/>
              <w:jc w:val="right"/>
              <w:rPr>
                <w:rFonts w:ascii="Arial" w:hAnsi="Arial" w:cs="Arial"/>
              </w:rPr>
            </w:pPr>
            <w:r w:rsidRPr="00C96275">
              <w:rPr>
                <w:rFonts w:ascii="Arial" w:hAnsi="Arial" w:cs="Arial"/>
              </w:rPr>
              <w:t>80.5%</w:t>
            </w:r>
          </w:p>
        </w:tc>
        <w:tc>
          <w:tcPr>
            <w:tcW w:w="1371" w:type="dxa"/>
          </w:tcPr>
          <w:p w14:paraId="29B2CF4D" w14:textId="784D3AE7" w:rsidR="00C96275" w:rsidRPr="00C96275" w:rsidRDefault="00C96275" w:rsidP="00C96275">
            <w:pPr>
              <w:spacing w:line="276" w:lineRule="auto"/>
              <w:jc w:val="right"/>
              <w:rPr>
                <w:rFonts w:ascii="Arial" w:hAnsi="Arial" w:cs="Arial"/>
              </w:rPr>
            </w:pPr>
            <w:r w:rsidRPr="00C96275">
              <w:rPr>
                <w:rFonts w:ascii="Arial" w:hAnsi="Arial" w:cs="Arial"/>
              </w:rPr>
              <w:t>88.5%</w:t>
            </w:r>
          </w:p>
        </w:tc>
      </w:tr>
      <w:tr w:rsidR="00C96275" w:rsidRPr="00BD6196" w14:paraId="257AE3AB" w14:textId="4BC791F1" w:rsidTr="0050412C">
        <w:trPr>
          <w:trHeight w:val="272"/>
          <w:jc w:val="center"/>
        </w:trPr>
        <w:tc>
          <w:tcPr>
            <w:tcW w:w="2219" w:type="dxa"/>
            <w:noWrap/>
            <w:hideMark/>
          </w:tcPr>
          <w:p w14:paraId="6F49CFED" w14:textId="77777777" w:rsidR="00C96275" w:rsidRPr="00BD6196" w:rsidRDefault="00C96275" w:rsidP="00C96275">
            <w:pPr>
              <w:spacing w:line="276" w:lineRule="auto"/>
              <w:jc w:val="right"/>
              <w:rPr>
                <w:rFonts w:ascii="Arial" w:hAnsi="Arial" w:cs="Arial"/>
              </w:rPr>
            </w:pPr>
            <w:r w:rsidRPr="00BD6196">
              <w:rPr>
                <w:rFonts w:ascii="Arial" w:hAnsi="Arial" w:cs="Arial"/>
              </w:rPr>
              <w:t xml:space="preserve">General Practice </w:t>
            </w:r>
          </w:p>
        </w:tc>
        <w:tc>
          <w:tcPr>
            <w:tcW w:w="1654" w:type="dxa"/>
            <w:noWrap/>
            <w:hideMark/>
          </w:tcPr>
          <w:p w14:paraId="7DBAA28B" w14:textId="5ECCAEBF" w:rsidR="00C96275" w:rsidRPr="00C96275" w:rsidRDefault="00C96275" w:rsidP="00C96275">
            <w:pPr>
              <w:spacing w:line="276" w:lineRule="auto"/>
              <w:jc w:val="right"/>
              <w:rPr>
                <w:rFonts w:ascii="Arial" w:hAnsi="Arial" w:cs="Arial"/>
              </w:rPr>
            </w:pPr>
            <w:r w:rsidRPr="00C96275">
              <w:rPr>
                <w:rFonts w:ascii="Arial" w:hAnsi="Arial" w:cs="Arial"/>
              </w:rPr>
              <w:t>8.0%</w:t>
            </w:r>
          </w:p>
        </w:tc>
        <w:tc>
          <w:tcPr>
            <w:tcW w:w="1432" w:type="dxa"/>
            <w:noWrap/>
            <w:hideMark/>
          </w:tcPr>
          <w:p w14:paraId="7BFA9A9D" w14:textId="01E1CC3C" w:rsidR="00C96275" w:rsidRPr="00C96275" w:rsidRDefault="00C96275" w:rsidP="00C96275">
            <w:pPr>
              <w:spacing w:line="276" w:lineRule="auto"/>
              <w:jc w:val="right"/>
              <w:rPr>
                <w:rFonts w:ascii="Arial" w:hAnsi="Arial" w:cs="Arial"/>
              </w:rPr>
            </w:pPr>
            <w:r w:rsidRPr="00C96275">
              <w:rPr>
                <w:rFonts w:ascii="Arial" w:hAnsi="Arial" w:cs="Arial"/>
              </w:rPr>
              <w:t>8.1%</w:t>
            </w:r>
          </w:p>
        </w:tc>
        <w:tc>
          <w:tcPr>
            <w:tcW w:w="1371" w:type="dxa"/>
            <w:noWrap/>
            <w:hideMark/>
          </w:tcPr>
          <w:p w14:paraId="580A7D6F" w14:textId="094F68B3" w:rsidR="00C96275" w:rsidRPr="00C96275" w:rsidRDefault="00C96275" w:rsidP="00C96275">
            <w:pPr>
              <w:spacing w:line="276" w:lineRule="auto"/>
              <w:jc w:val="right"/>
              <w:rPr>
                <w:rFonts w:ascii="Arial" w:hAnsi="Arial" w:cs="Arial"/>
              </w:rPr>
            </w:pPr>
            <w:r w:rsidRPr="00C96275">
              <w:rPr>
                <w:rFonts w:ascii="Arial" w:hAnsi="Arial" w:cs="Arial"/>
              </w:rPr>
              <w:t>8.2%</w:t>
            </w:r>
          </w:p>
        </w:tc>
        <w:tc>
          <w:tcPr>
            <w:tcW w:w="1371" w:type="dxa"/>
          </w:tcPr>
          <w:p w14:paraId="4236A3A4" w14:textId="45D9A16F" w:rsidR="00C96275" w:rsidRPr="00C96275" w:rsidRDefault="00C96275" w:rsidP="00C96275">
            <w:pPr>
              <w:spacing w:line="276" w:lineRule="auto"/>
              <w:jc w:val="right"/>
              <w:rPr>
                <w:rFonts w:ascii="Arial" w:hAnsi="Arial" w:cs="Arial"/>
              </w:rPr>
            </w:pPr>
            <w:r w:rsidRPr="00C96275">
              <w:rPr>
                <w:rFonts w:ascii="Arial" w:hAnsi="Arial" w:cs="Arial"/>
              </w:rPr>
              <w:t>8.6%</w:t>
            </w:r>
          </w:p>
        </w:tc>
      </w:tr>
      <w:tr w:rsidR="00C96275" w:rsidRPr="00BD6196" w14:paraId="034224A7" w14:textId="4530A34B" w:rsidTr="0050412C">
        <w:trPr>
          <w:trHeight w:val="272"/>
          <w:jc w:val="center"/>
        </w:trPr>
        <w:tc>
          <w:tcPr>
            <w:tcW w:w="2219" w:type="dxa"/>
            <w:noWrap/>
            <w:hideMark/>
          </w:tcPr>
          <w:p w14:paraId="767CD083" w14:textId="77777777" w:rsidR="00C96275" w:rsidRPr="00BD6196" w:rsidRDefault="00C96275" w:rsidP="00C96275">
            <w:pPr>
              <w:spacing w:line="276" w:lineRule="auto"/>
              <w:jc w:val="right"/>
              <w:rPr>
                <w:rFonts w:ascii="Arial" w:hAnsi="Arial" w:cs="Arial"/>
              </w:rPr>
            </w:pPr>
            <w:r w:rsidRPr="00BD6196">
              <w:rPr>
                <w:rFonts w:ascii="Arial" w:hAnsi="Arial" w:cs="Arial"/>
              </w:rPr>
              <w:t>Prescribing</w:t>
            </w:r>
          </w:p>
        </w:tc>
        <w:tc>
          <w:tcPr>
            <w:tcW w:w="1654" w:type="dxa"/>
            <w:noWrap/>
            <w:hideMark/>
          </w:tcPr>
          <w:p w14:paraId="2D58370A" w14:textId="5B89732A" w:rsidR="00C96275" w:rsidRPr="00C96275" w:rsidRDefault="00C96275" w:rsidP="00C96275">
            <w:pPr>
              <w:spacing w:line="276" w:lineRule="auto"/>
              <w:jc w:val="right"/>
              <w:rPr>
                <w:rFonts w:ascii="Arial" w:hAnsi="Arial" w:cs="Arial"/>
              </w:rPr>
            </w:pPr>
            <w:r w:rsidRPr="00C96275">
              <w:rPr>
                <w:rFonts w:ascii="Arial" w:hAnsi="Arial" w:cs="Arial"/>
              </w:rPr>
              <w:t>8.9%</w:t>
            </w:r>
          </w:p>
        </w:tc>
        <w:tc>
          <w:tcPr>
            <w:tcW w:w="1432" w:type="dxa"/>
            <w:noWrap/>
            <w:hideMark/>
          </w:tcPr>
          <w:p w14:paraId="2C444171" w14:textId="72DBB8A2" w:rsidR="00C96275" w:rsidRPr="00C96275" w:rsidRDefault="00C96275" w:rsidP="00C96275">
            <w:pPr>
              <w:spacing w:line="276" w:lineRule="auto"/>
              <w:jc w:val="right"/>
              <w:rPr>
                <w:rFonts w:ascii="Arial" w:hAnsi="Arial" w:cs="Arial"/>
              </w:rPr>
            </w:pPr>
            <w:r w:rsidRPr="00C96275">
              <w:rPr>
                <w:rFonts w:ascii="Arial" w:hAnsi="Arial" w:cs="Arial"/>
              </w:rPr>
              <w:t>8.7%</w:t>
            </w:r>
          </w:p>
        </w:tc>
        <w:tc>
          <w:tcPr>
            <w:tcW w:w="1371" w:type="dxa"/>
            <w:noWrap/>
            <w:hideMark/>
          </w:tcPr>
          <w:p w14:paraId="518F587A" w14:textId="2BC1A1CE" w:rsidR="00C96275" w:rsidRPr="00C96275" w:rsidRDefault="00C96275" w:rsidP="00C96275">
            <w:pPr>
              <w:spacing w:line="276" w:lineRule="auto"/>
              <w:jc w:val="right"/>
              <w:rPr>
                <w:rFonts w:ascii="Arial" w:hAnsi="Arial" w:cs="Arial"/>
              </w:rPr>
            </w:pPr>
            <w:r w:rsidRPr="00C96275">
              <w:rPr>
                <w:rFonts w:ascii="Arial" w:hAnsi="Arial" w:cs="Arial"/>
              </w:rPr>
              <w:t>8.5%</w:t>
            </w:r>
          </w:p>
        </w:tc>
        <w:tc>
          <w:tcPr>
            <w:tcW w:w="1371" w:type="dxa"/>
          </w:tcPr>
          <w:p w14:paraId="75F5507B" w14:textId="77777777" w:rsidR="00C96275" w:rsidRPr="00C96275" w:rsidRDefault="00C96275" w:rsidP="00C96275">
            <w:pPr>
              <w:spacing w:line="276" w:lineRule="auto"/>
              <w:jc w:val="right"/>
              <w:rPr>
                <w:rFonts w:ascii="Arial" w:hAnsi="Arial" w:cs="Arial"/>
              </w:rPr>
            </w:pPr>
          </w:p>
        </w:tc>
      </w:tr>
      <w:tr w:rsidR="00C96275" w:rsidRPr="00BD6196" w14:paraId="73FFDC4B" w14:textId="5F1D6F86" w:rsidTr="0050412C">
        <w:trPr>
          <w:trHeight w:val="272"/>
          <w:jc w:val="center"/>
        </w:trPr>
        <w:tc>
          <w:tcPr>
            <w:tcW w:w="2219" w:type="dxa"/>
            <w:noWrap/>
            <w:hideMark/>
          </w:tcPr>
          <w:p w14:paraId="1B84D677" w14:textId="77777777" w:rsidR="00C96275" w:rsidRPr="00BD6196" w:rsidRDefault="00C96275" w:rsidP="00C96275">
            <w:pPr>
              <w:spacing w:line="276" w:lineRule="auto"/>
              <w:jc w:val="right"/>
              <w:rPr>
                <w:rFonts w:ascii="Arial" w:hAnsi="Arial" w:cs="Arial"/>
              </w:rPr>
            </w:pPr>
            <w:r w:rsidRPr="00BD6196">
              <w:rPr>
                <w:rFonts w:ascii="Arial" w:hAnsi="Arial" w:cs="Arial"/>
              </w:rPr>
              <w:t>Dentistry</w:t>
            </w:r>
          </w:p>
        </w:tc>
        <w:tc>
          <w:tcPr>
            <w:tcW w:w="1654" w:type="dxa"/>
            <w:noWrap/>
            <w:hideMark/>
          </w:tcPr>
          <w:p w14:paraId="522444C2" w14:textId="632C1750" w:rsidR="00C96275" w:rsidRPr="00C96275" w:rsidRDefault="00C96275" w:rsidP="00C96275">
            <w:pPr>
              <w:spacing w:line="276" w:lineRule="auto"/>
              <w:jc w:val="right"/>
              <w:rPr>
                <w:rFonts w:ascii="Arial" w:hAnsi="Arial" w:cs="Arial"/>
              </w:rPr>
            </w:pPr>
            <w:r w:rsidRPr="00C96275">
              <w:rPr>
                <w:rFonts w:ascii="Arial" w:hAnsi="Arial" w:cs="Arial"/>
              </w:rPr>
              <w:t>2.9%</w:t>
            </w:r>
          </w:p>
        </w:tc>
        <w:tc>
          <w:tcPr>
            <w:tcW w:w="1432" w:type="dxa"/>
            <w:noWrap/>
            <w:hideMark/>
          </w:tcPr>
          <w:p w14:paraId="546EB9CA" w14:textId="3AE7CAAC" w:rsidR="00C96275" w:rsidRPr="00C96275" w:rsidRDefault="00C96275" w:rsidP="00C96275">
            <w:pPr>
              <w:spacing w:line="276" w:lineRule="auto"/>
              <w:jc w:val="right"/>
              <w:rPr>
                <w:rFonts w:ascii="Arial" w:hAnsi="Arial" w:cs="Arial"/>
              </w:rPr>
            </w:pPr>
            <w:r w:rsidRPr="00C96275">
              <w:rPr>
                <w:rFonts w:ascii="Arial" w:hAnsi="Arial" w:cs="Arial"/>
              </w:rPr>
              <w:t>2.8%</w:t>
            </w:r>
          </w:p>
        </w:tc>
        <w:tc>
          <w:tcPr>
            <w:tcW w:w="1371" w:type="dxa"/>
            <w:noWrap/>
            <w:hideMark/>
          </w:tcPr>
          <w:p w14:paraId="36DA6921" w14:textId="47439B61" w:rsidR="00C96275" w:rsidRPr="00C96275" w:rsidRDefault="00C96275" w:rsidP="00C96275">
            <w:pPr>
              <w:spacing w:line="276" w:lineRule="auto"/>
              <w:jc w:val="right"/>
              <w:rPr>
                <w:rFonts w:ascii="Arial" w:hAnsi="Arial" w:cs="Arial"/>
              </w:rPr>
            </w:pPr>
            <w:r w:rsidRPr="00C96275">
              <w:rPr>
                <w:rFonts w:ascii="Arial" w:hAnsi="Arial" w:cs="Arial"/>
              </w:rPr>
              <w:t>2.8%</w:t>
            </w:r>
          </w:p>
        </w:tc>
        <w:tc>
          <w:tcPr>
            <w:tcW w:w="1371" w:type="dxa"/>
          </w:tcPr>
          <w:p w14:paraId="074C56CD" w14:textId="4913005B" w:rsidR="00C96275" w:rsidRPr="00C96275" w:rsidRDefault="00C96275" w:rsidP="00C96275">
            <w:pPr>
              <w:spacing w:line="276" w:lineRule="auto"/>
              <w:jc w:val="right"/>
              <w:rPr>
                <w:rFonts w:ascii="Arial" w:hAnsi="Arial" w:cs="Arial"/>
              </w:rPr>
            </w:pPr>
            <w:r w:rsidRPr="00C96275">
              <w:rPr>
                <w:rFonts w:ascii="Arial" w:hAnsi="Arial" w:cs="Arial"/>
              </w:rPr>
              <w:t>2.9%</w:t>
            </w:r>
          </w:p>
        </w:tc>
      </w:tr>
      <w:tr w:rsidR="00C96275" w:rsidRPr="00BD6196" w14:paraId="3FDDC747" w14:textId="16AAB843" w:rsidTr="0050412C">
        <w:trPr>
          <w:trHeight w:val="272"/>
          <w:jc w:val="center"/>
        </w:trPr>
        <w:tc>
          <w:tcPr>
            <w:tcW w:w="2219" w:type="dxa"/>
            <w:noWrap/>
            <w:hideMark/>
          </w:tcPr>
          <w:p w14:paraId="44A25537" w14:textId="45509341" w:rsidR="00C96275" w:rsidRPr="00A001EA" w:rsidRDefault="00C96275" w:rsidP="00C96275">
            <w:pPr>
              <w:spacing w:line="276" w:lineRule="auto"/>
              <w:jc w:val="right"/>
              <w:rPr>
                <w:rFonts w:ascii="Arial" w:hAnsi="Arial" w:cs="Arial"/>
                <w:b/>
              </w:rPr>
            </w:pPr>
            <w:r w:rsidRPr="00A001EA">
              <w:rPr>
                <w:rFonts w:ascii="Arial" w:hAnsi="Arial" w:cs="Arial"/>
                <w:b/>
              </w:rPr>
              <w:t>Total</w:t>
            </w:r>
            <w:bookmarkStart w:id="0" w:name="_GoBack"/>
            <w:bookmarkEnd w:id="0"/>
          </w:p>
        </w:tc>
        <w:tc>
          <w:tcPr>
            <w:tcW w:w="1654" w:type="dxa"/>
            <w:noWrap/>
            <w:hideMark/>
          </w:tcPr>
          <w:p w14:paraId="22ABF2C1" w14:textId="085DADC0" w:rsidR="00C96275" w:rsidRPr="00A001EA" w:rsidRDefault="00C96275" w:rsidP="00C96275">
            <w:pPr>
              <w:spacing w:line="276" w:lineRule="auto"/>
              <w:jc w:val="right"/>
              <w:rPr>
                <w:rFonts w:ascii="Arial" w:hAnsi="Arial" w:cs="Arial"/>
                <w:b/>
              </w:rPr>
            </w:pPr>
            <w:r w:rsidRPr="00A001EA">
              <w:rPr>
                <w:rFonts w:ascii="Arial" w:hAnsi="Arial" w:cs="Arial"/>
                <w:b/>
              </w:rPr>
              <w:t>100.0%</w:t>
            </w:r>
          </w:p>
        </w:tc>
        <w:tc>
          <w:tcPr>
            <w:tcW w:w="1432" w:type="dxa"/>
            <w:noWrap/>
            <w:hideMark/>
          </w:tcPr>
          <w:p w14:paraId="398C8C70" w14:textId="6E904AAC" w:rsidR="00C96275" w:rsidRPr="00A001EA" w:rsidRDefault="00C96275" w:rsidP="00C96275">
            <w:pPr>
              <w:spacing w:line="276" w:lineRule="auto"/>
              <w:jc w:val="right"/>
              <w:rPr>
                <w:rFonts w:ascii="Arial" w:hAnsi="Arial" w:cs="Arial"/>
                <w:b/>
              </w:rPr>
            </w:pPr>
            <w:r w:rsidRPr="00A001EA">
              <w:rPr>
                <w:rFonts w:ascii="Arial" w:hAnsi="Arial" w:cs="Arial"/>
                <w:b/>
              </w:rPr>
              <w:t>100.0%</w:t>
            </w:r>
          </w:p>
        </w:tc>
        <w:tc>
          <w:tcPr>
            <w:tcW w:w="1371" w:type="dxa"/>
            <w:noWrap/>
            <w:hideMark/>
          </w:tcPr>
          <w:p w14:paraId="5FF4729C" w14:textId="415A2A0D" w:rsidR="00C96275" w:rsidRPr="00A001EA" w:rsidRDefault="00C96275" w:rsidP="00C96275">
            <w:pPr>
              <w:spacing w:line="276" w:lineRule="auto"/>
              <w:jc w:val="right"/>
              <w:rPr>
                <w:rFonts w:ascii="Arial" w:hAnsi="Arial" w:cs="Arial"/>
                <w:b/>
              </w:rPr>
            </w:pPr>
            <w:r w:rsidRPr="00A001EA">
              <w:rPr>
                <w:rFonts w:ascii="Arial" w:hAnsi="Arial" w:cs="Arial"/>
                <w:b/>
              </w:rPr>
              <w:t>100.0%</w:t>
            </w:r>
          </w:p>
        </w:tc>
        <w:tc>
          <w:tcPr>
            <w:tcW w:w="1371" w:type="dxa"/>
          </w:tcPr>
          <w:p w14:paraId="2E6BA840" w14:textId="79018583" w:rsidR="00C96275" w:rsidRPr="00A001EA" w:rsidRDefault="00C96275" w:rsidP="00C96275">
            <w:pPr>
              <w:spacing w:line="276" w:lineRule="auto"/>
              <w:jc w:val="right"/>
              <w:rPr>
                <w:rFonts w:ascii="Arial" w:hAnsi="Arial" w:cs="Arial"/>
                <w:b/>
              </w:rPr>
            </w:pPr>
            <w:r w:rsidRPr="00A001EA">
              <w:rPr>
                <w:rFonts w:ascii="Arial" w:hAnsi="Arial" w:cs="Arial"/>
                <w:b/>
              </w:rPr>
              <w:t>100.0%</w:t>
            </w:r>
          </w:p>
        </w:tc>
      </w:tr>
    </w:tbl>
    <w:p w14:paraId="5DE80C38" w14:textId="052B8296" w:rsidR="000D6840" w:rsidRDefault="000D6840" w:rsidP="00655F9A">
      <w:pPr>
        <w:spacing w:after="0" w:line="276" w:lineRule="auto"/>
        <w:rPr>
          <w:rFonts w:ascii="Arial" w:hAnsi="Arial" w:cs="Arial"/>
          <w:sz w:val="24"/>
        </w:rPr>
      </w:pPr>
    </w:p>
    <w:p w14:paraId="6E8690B8" w14:textId="2B28D5F5" w:rsidR="00126EB2" w:rsidRPr="00126EB2" w:rsidRDefault="00126EB2" w:rsidP="00126EB2">
      <w:pPr>
        <w:pStyle w:val="ListParagraph"/>
        <w:spacing w:after="0" w:line="276" w:lineRule="auto"/>
        <w:ind w:left="360"/>
        <w:jc w:val="center"/>
        <w:rPr>
          <w:rFonts w:ascii="Arial" w:hAnsi="Arial" w:cs="Arial"/>
          <w:sz w:val="24"/>
        </w:rPr>
      </w:pPr>
      <w:r w:rsidRPr="00126EB2">
        <w:rPr>
          <w:rFonts w:ascii="Arial" w:hAnsi="Arial" w:cs="Arial"/>
          <w:sz w:val="24"/>
          <w:u w:val="single"/>
        </w:rPr>
        <w:t xml:space="preserve">Table </w:t>
      </w:r>
      <w:r>
        <w:rPr>
          <w:rFonts w:ascii="Arial" w:hAnsi="Arial" w:cs="Arial"/>
          <w:sz w:val="24"/>
          <w:u w:val="single"/>
        </w:rPr>
        <w:t>20</w:t>
      </w:r>
      <w:r w:rsidRPr="00126EB2">
        <w:rPr>
          <w:rFonts w:ascii="Arial" w:hAnsi="Arial" w:cs="Arial"/>
          <w:sz w:val="24"/>
          <w:u w:val="single"/>
        </w:rPr>
        <w:t xml:space="preserve">: </w:t>
      </w:r>
      <w:r>
        <w:rPr>
          <w:rFonts w:ascii="Arial" w:hAnsi="Arial" w:cs="Arial"/>
          <w:sz w:val="24"/>
          <w:u w:val="single"/>
        </w:rPr>
        <w:t>NHS</w:t>
      </w:r>
      <w:r w:rsidR="00A001EA">
        <w:rPr>
          <w:rFonts w:ascii="Arial" w:hAnsi="Arial" w:cs="Arial"/>
          <w:sz w:val="24"/>
          <w:u w:val="single"/>
        </w:rPr>
        <w:t xml:space="preserve"> </w:t>
      </w:r>
      <w:r w:rsidR="009161BA">
        <w:rPr>
          <w:rFonts w:ascii="Arial" w:hAnsi="Arial" w:cs="Arial"/>
          <w:sz w:val="24"/>
          <w:u w:val="single"/>
        </w:rPr>
        <w:t>C</w:t>
      </w:r>
      <w:r w:rsidR="00A001EA">
        <w:rPr>
          <w:rFonts w:ascii="Arial" w:hAnsi="Arial" w:cs="Arial"/>
          <w:sz w:val="24"/>
          <w:u w:val="single"/>
        </w:rPr>
        <w:t xml:space="preserve">ost </w:t>
      </w:r>
      <w:r w:rsidR="009161BA">
        <w:rPr>
          <w:rFonts w:ascii="Arial" w:hAnsi="Arial" w:cs="Arial"/>
          <w:sz w:val="24"/>
          <w:u w:val="single"/>
        </w:rPr>
        <w:t>I</w:t>
      </w:r>
      <w:r w:rsidR="00A001EA">
        <w:rPr>
          <w:rFonts w:ascii="Arial" w:hAnsi="Arial" w:cs="Arial"/>
          <w:sz w:val="24"/>
          <w:u w:val="single"/>
        </w:rPr>
        <w:t xml:space="preserve">nflation </w:t>
      </w:r>
      <w:r w:rsidR="009161BA">
        <w:rPr>
          <w:rFonts w:ascii="Arial" w:hAnsi="Arial" w:cs="Arial"/>
          <w:sz w:val="24"/>
          <w:u w:val="single"/>
        </w:rPr>
        <w:t>I</w:t>
      </w:r>
      <w:r w:rsidR="00A001EA">
        <w:rPr>
          <w:rFonts w:ascii="Arial" w:hAnsi="Arial" w:cs="Arial"/>
          <w:sz w:val="24"/>
          <w:u w:val="single"/>
        </w:rPr>
        <w:t>ndex</w:t>
      </w:r>
    </w:p>
    <w:tbl>
      <w:tblPr>
        <w:tblStyle w:val="TableGrid"/>
        <w:tblW w:w="0" w:type="auto"/>
        <w:jc w:val="center"/>
        <w:tblLook w:val="04A0" w:firstRow="1" w:lastRow="0" w:firstColumn="1" w:lastColumn="0" w:noHBand="0" w:noVBand="1"/>
      </w:tblPr>
      <w:tblGrid>
        <w:gridCol w:w="2223"/>
        <w:gridCol w:w="1657"/>
        <w:gridCol w:w="1434"/>
        <w:gridCol w:w="1374"/>
        <w:gridCol w:w="1374"/>
      </w:tblGrid>
      <w:tr w:rsidR="00C96275" w:rsidRPr="00BD6196" w14:paraId="3DB9327C" w14:textId="566B8C6F" w:rsidTr="0050412C">
        <w:trPr>
          <w:trHeight w:val="270"/>
          <w:jc w:val="center"/>
        </w:trPr>
        <w:tc>
          <w:tcPr>
            <w:tcW w:w="2223" w:type="dxa"/>
            <w:noWrap/>
            <w:hideMark/>
          </w:tcPr>
          <w:p w14:paraId="388E8488" w14:textId="6812B385" w:rsidR="00C96275" w:rsidRPr="00BD6196" w:rsidRDefault="00C96275" w:rsidP="00BD6196">
            <w:pPr>
              <w:spacing w:line="276" w:lineRule="auto"/>
              <w:jc w:val="right"/>
              <w:rPr>
                <w:rFonts w:ascii="Arial" w:hAnsi="Arial" w:cs="Arial"/>
                <w:b/>
                <w:bCs/>
              </w:rPr>
            </w:pPr>
          </w:p>
        </w:tc>
        <w:tc>
          <w:tcPr>
            <w:tcW w:w="1657" w:type="dxa"/>
            <w:hideMark/>
          </w:tcPr>
          <w:p w14:paraId="4E7F1E76"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15/16</w:t>
            </w:r>
          </w:p>
        </w:tc>
        <w:tc>
          <w:tcPr>
            <w:tcW w:w="1434" w:type="dxa"/>
            <w:hideMark/>
          </w:tcPr>
          <w:p w14:paraId="7DC07286"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16/17</w:t>
            </w:r>
          </w:p>
        </w:tc>
        <w:tc>
          <w:tcPr>
            <w:tcW w:w="1374" w:type="dxa"/>
            <w:hideMark/>
          </w:tcPr>
          <w:p w14:paraId="5AF680D4"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17/18</w:t>
            </w:r>
          </w:p>
        </w:tc>
        <w:tc>
          <w:tcPr>
            <w:tcW w:w="1374" w:type="dxa"/>
          </w:tcPr>
          <w:p w14:paraId="76F76965" w14:textId="1C9FC460" w:rsidR="00C96275" w:rsidRPr="00BD6196" w:rsidRDefault="00C96275" w:rsidP="00BD6196">
            <w:pPr>
              <w:spacing w:line="276" w:lineRule="auto"/>
              <w:jc w:val="right"/>
              <w:rPr>
                <w:rFonts w:ascii="Arial" w:hAnsi="Arial" w:cs="Arial"/>
                <w:b/>
                <w:bCs/>
              </w:rPr>
            </w:pPr>
            <w:r>
              <w:rPr>
                <w:rFonts w:ascii="Arial" w:hAnsi="Arial" w:cs="Arial"/>
                <w:b/>
                <w:bCs/>
              </w:rPr>
              <w:t>18/19</w:t>
            </w:r>
          </w:p>
        </w:tc>
      </w:tr>
      <w:tr w:rsidR="00C96275" w:rsidRPr="00BD6196" w14:paraId="20E8D33E" w14:textId="0C933730" w:rsidTr="0050412C">
        <w:trPr>
          <w:trHeight w:val="270"/>
          <w:jc w:val="center"/>
        </w:trPr>
        <w:tc>
          <w:tcPr>
            <w:tcW w:w="2223" w:type="dxa"/>
            <w:noWrap/>
            <w:hideMark/>
          </w:tcPr>
          <w:p w14:paraId="04D2A75A" w14:textId="77777777" w:rsidR="00C96275" w:rsidRPr="00BD6196" w:rsidRDefault="00C96275" w:rsidP="00C96275">
            <w:pPr>
              <w:spacing w:line="276" w:lineRule="auto"/>
              <w:jc w:val="right"/>
              <w:rPr>
                <w:rFonts w:ascii="Arial" w:hAnsi="Arial" w:cs="Arial"/>
              </w:rPr>
            </w:pPr>
            <w:r w:rsidRPr="00BD6196">
              <w:rPr>
                <w:rFonts w:ascii="Arial" w:hAnsi="Arial" w:cs="Arial"/>
              </w:rPr>
              <w:t>NHS Providers</w:t>
            </w:r>
          </w:p>
        </w:tc>
        <w:tc>
          <w:tcPr>
            <w:tcW w:w="1657" w:type="dxa"/>
            <w:noWrap/>
            <w:hideMark/>
          </w:tcPr>
          <w:p w14:paraId="206AD52E" w14:textId="04ABE6FE" w:rsidR="00C96275" w:rsidRPr="00C96275" w:rsidRDefault="00C96275" w:rsidP="00C96275">
            <w:pPr>
              <w:spacing w:line="276" w:lineRule="auto"/>
              <w:jc w:val="right"/>
              <w:rPr>
                <w:rFonts w:ascii="Arial" w:hAnsi="Arial" w:cs="Arial"/>
              </w:rPr>
            </w:pPr>
            <w:r w:rsidRPr="00C96275">
              <w:rPr>
                <w:rFonts w:ascii="Arial" w:hAnsi="Arial" w:cs="Arial"/>
              </w:rPr>
              <w:t>100.4</w:t>
            </w:r>
          </w:p>
        </w:tc>
        <w:tc>
          <w:tcPr>
            <w:tcW w:w="1434" w:type="dxa"/>
            <w:noWrap/>
            <w:hideMark/>
          </w:tcPr>
          <w:p w14:paraId="3D810301" w14:textId="3218B285" w:rsidR="00C96275" w:rsidRPr="00C96275" w:rsidRDefault="00C96275" w:rsidP="00C96275">
            <w:pPr>
              <w:spacing w:line="276" w:lineRule="auto"/>
              <w:jc w:val="right"/>
              <w:rPr>
                <w:rFonts w:ascii="Arial" w:hAnsi="Arial" w:cs="Arial"/>
              </w:rPr>
            </w:pPr>
            <w:r w:rsidRPr="00C96275">
              <w:rPr>
                <w:rFonts w:ascii="Arial" w:hAnsi="Arial" w:cs="Arial"/>
              </w:rPr>
              <w:t>102.5</w:t>
            </w:r>
          </w:p>
        </w:tc>
        <w:tc>
          <w:tcPr>
            <w:tcW w:w="1374" w:type="dxa"/>
            <w:noWrap/>
            <w:hideMark/>
          </w:tcPr>
          <w:p w14:paraId="195D072C" w14:textId="30BBAE40" w:rsidR="00C96275" w:rsidRPr="00C96275" w:rsidRDefault="00C96275" w:rsidP="00C96275">
            <w:pPr>
              <w:spacing w:line="276" w:lineRule="auto"/>
              <w:jc w:val="right"/>
              <w:rPr>
                <w:rFonts w:ascii="Arial" w:hAnsi="Arial" w:cs="Arial"/>
              </w:rPr>
            </w:pPr>
            <w:r w:rsidRPr="00C96275">
              <w:rPr>
                <w:rFonts w:ascii="Arial" w:hAnsi="Arial" w:cs="Arial"/>
              </w:rPr>
              <w:t>103.7</w:t>
            </w:r>
          </w:p>
        </w:tc>
        <w:tc>
          <w:tcPr>
            <w:tcW w:w="1374" w:type="dxa"/>
          </w:tcPr>
          <w:p w14:paraId="06B8EAB5" w14:textId="2B18994E" w:rsidR="00C96275" w:rsidRPr="00C96275" w:rsidRDefault="00C96275" w:rsidP="00C96275">
            <w:pPr>
              <w:spacing w:line="276" w:lineRule="auto"/>
              <w:jc w:val="right"/>
              <w:rPr>
                <w:rFonts w:ascii="Arial" w:hAnsi="Arial" w:cs="Arial"/>
              </w:rPr>
            </w:pPr>
            <w:r w:rsidRPr="00C96275">
              <w:rPr>
                <w:rFonts w:ascii="Arial" w:hAnsi="Arial" w:cs="Arial"/>
              </w:rPr>
              <w:t>106.1</w:t>
            </w:r>
          </w:p>
        </w:tc>
      </w:tr>
      <w:tr w:rsidR="00C96275" w:rsidRPr="00BD6196" w14:paraId="636FEB45" w14:textId="7F10D30E" w:rsidTr="0050412C">
        <w:trPr>
          <w:trHeight w:val="270"/>
          <w:jc w:val="center"/>
        </w:trPr>
        <w:tc>
          <w:tcPr>
            <w:tcW w:w="2223" w:type="dxa"/>
            <w:noWrap/>
            <w:hideMark/>
          </w:tcPr>
          <w:p w14:paraId="1EFCA41A" w14:textId="77777777" w:rsidR="00C96275" w:rsidRPr="00BD6196" w:rsidRDefault="00C96275" w:rsidP="00C96275">
            <w:pPr>
              <w:spacing w:line="276" w:lineRule="auto"/>
              <w:jc w:val="right"/>
              <w:rPr>
                <w:rFonts w:ascii="Arial" w:hAnsi="Arial" w:cs="Arial"/>
              </w:rPr>
            </w:pPr>
            <w:r w:rsidRPr="00BD6196">
              <w:rPr>
                <w:rFonts w:ascii="Arial" w:hAnsi="Arial" w:cs="Arial"/>
              </w:rPr>
              <w:t xml:space="preserve">General Practice </w:t>
            </w:r>
          </w:p>
        </w:tc>
        <w:tc>
          <w:tcPr>
            <w:tcW w:w="1657" w:type="dxa"/>
            <w:noWrap/>
            <w:hideMark/>
          </w:tcPr>
          <w:p w14:paraId="5D304439" w14:textId="3A189D0D" w:rsidR="00C96275" w:rsidRPr="00C96275" w:rsidRDefault="00C96275" w:rsidP="00C96275">
            <w:pPr>
              <w:spacing w:line="276" w:lineRule="auto"/>
              <w:jc w:val="right"/>
              <w:rPr>
                <w:rFonts w:ascii="Arial" w:hAnsi="Arial" w:cs="Arial"/>
              </w:rPr>
            </w:pPr>
            <w:r w:rsidRPr="00C96275">
              <w:rPr>
                <w:rFonts w:ascii="Arial" w:hAnsi="Arial" w:cs="Arial"/>
              </w:rPr>
              <w:t>100.7</w:t>
            </w:r>
          </w:p>
        </w:tc>
        <w:tc>
          <w:tcPr>
            <w:tcW w:w="1434" w:type="dxa"/>
            <w:noWrap/>
            <w:hideMark/>
          </w:tcPr>
          <w:p w14:paraId="1FB62330" w14:textId="0D742D95" w:rsidR="00C96275" w:rsidRPr="00C96275" w:rsidRDefault="00C96275" w:rsidP="00C96275">
            <w:pPr>
              <w:spacing w:line="276" w:lineRule="auto"/>
              <w:jc w:val="right"/>
              <w:rPr>
                <w:rFonts w:ascii="Arial" w:hAnsi="Arial" w:cs="Arial"/>
              </w:rPr>
            </w:pPr>
            <w:r w:rsidRPr="00C96275">
              <w:rPr>
                <w:rFonts w:ascii="Arial" w:hAnsi="Arial" w:cs="Arial"/>
              </w:rPr>
              <w:t>103.2</w:t>
            </w:r>
          </w:p>
        </w:tc>
        <w:tc>
          <w:tcPr>
            <w:tcW w:w="1374" w:type="dxa"/>
            <w:noWrap/>
            <w:hideMark/>
          </w:tcPr>
          <w:p w14:paraId="2970B22B" w14:textId="1506ED13" w:rsidR="00C96275" w:rsidRPr="00C96275" w:rsidRDefault="00C96275" w:rsidP="00C96275">
            <w:pPr>
              <w:spacing w:line="276" w:lineRule="auto"/>
              <w:jc w:val="right"/>
              <w:rPr>
                <w:rFonts w:ascii="Arial" w:hAnsi="Arial" w:cs="Arial"/>
              </w:rPr>
            </w:pPr>
            <w:r w:rsidRPr="00C96275">
              <w:rPr>
                <w:rFonts w:ascii="Arial" w:hAnsi="Arial" w:cs="Arial"/>
              </w:rPr>
              <w:t>106.0</w:t>
            </w:r>
          </w:p>
        </w:tc>
        <w:tc>
          <w:tcPr>
            <w:tcW w:w="1374" w:type="dxa"/>
          </w:tcPr>
          <w:p w14:paraId="437DADDB" w14:textId="45C1B171" w:rsidR="00C96275" w:rsidRPr="00C96275" w:rsidRDefault="00C96275" w:rsidP="00C96275">
            <w:pPr>
              <w:spacing w:line="276" w:lineRule="auto"/>
              <w:jc w:val="right"/>
              <w:rPr>
                <w:rFonts w:ascii="Arial" w:hAnsi="Arial" w:cs="Arial"/>
              </w:rPr>
            </w:pPr>
            <w:r w:rsidRPr="00C96275">
              <w:rPr>
                <w:rFonts w:ascii="Arial" w:hAnsi="Arial" w:cs="Arial"/>
              </w:rPr>
              <w:t>109.0</w:t>
            </w:r>
          </w:p>
        </w:tc>
      </w:tr>
      <w:tr w:rsidR="00C96275" w:rsidRPr="00BD6196" w14:paraId="7A254FF8" w14:textId="47838872" w:rsidTr="0050412C">
        <w:trPr>
          <w:trHeight w:val="270"/>
          <w:jc w:val="center"/>
        </w:trPr>
        <w:tc>
          <w:tcPr>
            <w:tcW w:w="2223" w:type="dxa"/>
            <w:noWrap/>
            <w:hideMark/>
          </w:tcPr>
          <w:p w14:paraId="57A19320" w14:textId="77777777" w:rsidR="00C96275" w:rsidRPr="00BD6196" w:rsidRDefault="00C96275" w:rsidP="00C96275">
            <w:pPr>
              <w:spacing w:line="276" w:lineRule="auto"/>
              <w:jc w:val="right"/>
              <w:rPr>
                <w:rFonts w:ascii="Arial" w:hAnsi="Arial" w:cs="Arial"/>
              </w:rPr>
            </w:pPr>
            <w:r w:rsidRPr="00BD6196">
              <w:rPr>
                <w:rFonts w:ascii="Arial" w:hAnsi="Arial" w:cs="Arial"/>
              </w:rPr>
              <w:t>Prescribing</w:t>
            </w:r>
          </w:p>
        </w:tc>
        <w:tc>
          <w:tcPr>
            <w:tcW w:w="1657" w:type="dxa"/>
            <w:noWrap/>
            <w:hideMark/>
          </w:tcPr>
          <w:p w14:paraId="6C962364" w14:textId="349F9B6F" w:rsidR="00C96275" w:rsidRPr="00C96275" w:rsidRDefault="00C96275" w:rsidP="00C96275">
            <w:pPr>
              <w:spacing w:line="276" w:lineRule="auto"/>
              <w:jc w:val="right"/>
              <w:rPr>
                <w:rFonts w:ascii="Arial" w:hAnsi="Arial" w:cs="Arial"/>
              </w:rPr>
            </w:pPr>
            <w:r w:rsidRPr="00C96275">
              <w:rPr>
                <w:rFonts w:ascii="Arial" w:hAnsi="Arial" w:cs="Arial"/>
              </w:rPr>
              <w:t>99.9</w:t>
            </w:r>
          </w:p>
        </w:tc>
        <w:tc>
          <w:tcPr>
            <w:tcW w:w="1434" w:type="dxa"/>
            <w:noWrap/>
            <w:hideMark/>
          </w:tcPr>
          <w:p w14:paraId="56D89B54" w14:textId="1CBDCC4D" w:rsidR="00C96275" w:rsidRPr="00C96275" w:rsidRDefault="00C96275" w:rsidP="00C96275">
            <w:pPr>
              <w:spacing w:line="276" w:lineRule="auto"/>
              <w:jc w:val="right"/>
              <w:rPr>
                <w:rFonts w:ascii="Arial" w:hAnsi="Arial" w:cs="Arial"/>
              </w:rPr>
            </w:pPr>
            <w:r w:rsidRPr="00C96275">
              <w:rPr>
                <w:rFonts w:ascii="Arial" w:hAnsi="Arial" w:cs="Arial"/>
              </w:rPr>
              <w:t>92.9</w:t>
            </w:r>
          </w:p>
        </w:tc>
        <w:tc>
          <w:tcPr>
            <w:tcW w:w="1374" w:type="dxa"/>
            <w:noWrap/>
            <w:hideMark/>
          </w:tcPr>
          <w:p w14:paraId="4ECBC3DA" w14:textId="718CD795" w:rsidR="00C96275" w:rsidRPr="00C96275" w:rsidRDefault="00C96275" w:rsidP="00C96275">
            <w:pPr>
              <w:spacing w:line="276" w:lineRule="auto"/>
              <w:jc w:val="right"/>
              <w:rPr>
                <w:rFonts w:ascii="Arial" w:hAnsi="Arial" w:cs="Arial"/>
              </w:rPr>
            </w:pPr>
            <w:r w:rsidRPr="00C96275">
              <w:rPr>
                <w:rFonts w:ascii="Arial" w:hAnsi="Arial" w:cs="Arial"/>
              </w:rPr>
              <w:t>90.5</w:t>
            </w:r>
          </w:p>
        </w:tc>
        <w:tc>
          <w:tcPr>
            <w:tcW w:w="1374" w:type="dxa"/>
          </w:tcPr>
          <w:p w14:paraId="1C1647BF" w14:textId="77777777" w:rsidR="00C96275" w:rsidRPr="00C96275" w:rsidRDefault="00C96275" w:rsidP="00C96275">
            <w:pPr>
              <w:spacing w:line="276" w:lineRule="auto"/>
              <w:jc w:val="right"/>
              <w:rPr>
                <w:rFonts w:ascii="Arial" w:hAnsi="Arial" w:cs="Arial"/>
              </w:rPr>
            </w:pPr>
          </w:p>
        </w:tc>
      </w:tr>
      <w:tr w:rsidR="00C96275" w:rsidRPr="00BD6196" w14:paraId="33A3019B" w14:textId="1DCB250F" w:rsidTr="0050412C">
        <w:trPr>
          <w:trHeight w:val="270"/>
          <w:jc w:val="center"/>
        </w:trPr>
        <w:tc>
          <w:tcPr>
            <w:tcW w:w="2223" w:type="dxa"/>
            <w:noWrap/>
            <w:hideMark/>
          </w:tcPr>
          <w:p w14:paraId="0479CBC4" w14:textId="77777777" w:rsidR="00C96275" w:rsidRPr="00BD6196" w:rsidRDefault="00C96275" w:rsidP="00C96275">
            <w:pPr>
              <w:spacing w:line="276" w:lineRule="auto"/>
              <w:jc w:val="right"/>
              <w:rPr>
                <w:rFonts w:ascii="Arial" w:hAnsi="Arial" w:cs="Arial"/>
              </w:rPr>
            </w:pPr>
            <w:r w:rsidRPr="00BD6196">
              <w:rPr>
                <w:rFonts w:ascii="Arial" w:hAnsi="Arial" w:cs="Arial"/>
              </w:rPr>
              <w:t>Dentistry</w:t>
            </w:r>
          </w:p>
        </w:tc>
        <w:tc>
          <w:tcPr>
            <w:tcW w:w="1657" w:type="dxa"/>
            <w:noWrap/>
            <w:hideMark/>
          </w:tcPr>
          <w:p w14:paraId="4F8ADC9E" w14:textId="408323F4" w:rsidR="00C96275" w:rsidRPr="00C96275" w:rsidRDefault="00C96275" w:rsidP="00C96275">
            <w:pPr>
              <w:spacing w:line="276" w:lineRule="auto"/>
              <w:jc w:val="right"/>
              <w:rPr>
                <w:rFonts w:ascii="Arial" w:hAnsi="Arial" w:cs="Arial"/>
              </w:rPr>
            </w:pPr>
            <w:r w:rsidRPr="00C96275">
              <w:rPr>
                <w:rFonts w:ascii="Arial" w:hAnsi="Arial" w:cs="Arial"/>
              </w:rPr>
              <w:t>99.2</w:t>
            </w:r>
          </w:p>
        </w:tc>
        <w:tc>
          <w:tcPr>
            <w:tcW w:w="1434" w:type="dxa"/>
            <w:noWrap/>
            <w:hideMark/>
          </w:tcPr>
          <w:p w14:paraId="1D3E7F01" w14:textId="67349680" w:rsidR="00C96275" w:rsidRPr="00C96275" w:rsidRDefault="00C96275" w:rsidP="00C96275">
            <w:pPr>
              <w:spacing w:line="276" w:lineRule="auto"/>
              <w:jc w:val="right"/>
              <w:rPr>
                <w:rFonts w:ascii="Arial" w:hAnsi="Arial" w:cs="Arial"/>
              </w:rPr>
            </w:pPr>
            <w:r w:rsidRPr="00C96275">
              <w:rPr>
                <w:rFonts w:ascii="Arial" w:hAnsi="Arial" w:cs="Arial"/>
              </w:rPr>
              <w:t>99.4</w:t>
            </w:r>
          </w:p>
        </w:tc>
        <w:tc>
          <w:tcPr>
            <w:tcW w:w="1374" w:type="dxa"/>
            <w:noWrap/>
            <w:hideMark/>
          </w:tcPr>
          <w:p w14:paraId="019B0888" w14:textId="7DA6ACC0" w:rsidR="00C96275" w:rsidRPr="00C96275" w:rsidRDefault="00C96275" w:rsidP="00C96275">
            <w:pPr>
              <w:spacing w:line="276" w:lineRule="auto"/>
              <w:jc w:val="right"/>
              <w:rPr>
                <w:rFonts w:ascii="Arial" w:hAnsi="Arial" w:cs="Arial"/>
              </w:rPr>
            </w:pPr>
            <w:r w:rsidRPr="00C96275">
              <w:rPr>
                <w:rFonts w:ascii="Arial" w:hAnsi="Arial" w:cs="Arial"/>
              </w:rPr>
              <w:t>100.2</w:t>
            </w:r>
          </w:p>
        </w:tc>
        <w:tc>
          <w:tcPr>
            <w:tcW w:w="1374" w:type="dxa"/>
          </w:tcPr>
          <w:p w14:paraId="15596C8B" w14:textId="7E3E2FF7" w:rsidR="00C96275" w:rsidRPr="00C96275" w:rsidRDefault="00C96275" w:rsidP="00C96275">
            <w:pPr>
              <w:spacing w:line="276" w:lineRule="auto"/>
              <w:jc w:val="right"/>
              <w:rPr>
                <w:rFonts w:ascii="Arial" w:hAnsi="Arial" w:cs="Arial"/>
              </w:rPr>
            </w:pPr>
            <w:r w:rsidRPr="00C96275">
              <w:rPr>
                <w:rFonts w:ascii="Arial" w:hAnsi="Arial" w:cs="Arial"/>
              </w:rPr>
              <w:t>100.6</w:t>
            </w:r>
          </w:p>
        </w:tc>
      </w:tr>
    </w:tbl>
    <w:p w14:paraId="136060D4" w14:textId="072C7142" w:rsidR="00814861" w:rsidRDefault="00C96275" w:rsidP="00655F9A">
      <w:pPr>
        <w:spacing w:after="0" w:line="276" w:lineRule="auto"/>
        <w:jc w:val="center"/>
        <w:rPr>
          <w:rFonts w:ascii="Arial" w:hAnsi="Arial" w:cs="Arial"/>
          <w:sz w:val="18"/>
        </w:rPr>
      </w:pPr>
      <w:r w:rsidRPr="00C96275">
        <w:rPr>
          <w:rFonts w:ascii="Arial" w:hAnsi="Arial" w:cs="Arial"/>
          <w:sz w:val="18"/>
        </w:rPr>
        <w:t>Note: Prescribing data is not yet available for 2018/19.</w:t>
      </w:r>
    </w:p>
    <w:p w14:paraId="4F01A1D4" w14:textId="77777777" w:rsidR="00655F9A" w:rsidRPr="00655F9A" w:rsidRDefault="00655F9A" w:rsidP="00655F9A">
      <w:pPr>
        <w:spacing w:after="0" w:line="276" w:lineRule="auto"/>
        <w:jc w:val="center"/>
        <w:rPr>
          <w:rFonts w:ascii="Arial" w:hAnsi="Arial" w:cs="Arial"/>
        </w:rPr>
      </w:pPr>
    </w:p>
    <w:p w14:paraId="196DC5CD" w14:textId="7771233A" w:rsidR="00C96275" w:rsidRPr="00126EB2" w:rsidRDefault="00C96275" w:rsidP="00C96275">
      <w:pPr>
        <w:pStyle w:val="ListParagraph"/>
        <w:spacing w:after="0" w:line="276" w:lineRule="auto"/>
        <w:ind w:left="360"/>
        <w:jc w:val="center"/>
        <w:rPr>
          <w:rFonts w:ascii="Arial" w:hAnsi="Arial" w:cs="Arial"/>
          <w:sz w:val="24"/>
        </w:rPr>
      </w:pPr>
      <w:r w:rsidRPr="00126EB2">
        <w:rPr>
          <w:rFonts w:ascii="Arial" w:hAnsi="Arial" w:cs="Arial"/>
          <w:sz w:val="24"/>
          <w:u w:val="single"/>
        </w:rPr>
        <w:t xml:space="preserve">Table </w:t>
      </w:r>
      <w:r>
        <w:rPr>
          <w:rFonts w:ascii="Arial" w:hAnsi="Arial" w:cs="Arial"/>
          <w:sz w:val="24"/>
          <w:u w:val="single"/>
        </w:rPr>
        <w:t>21</w:t>
      </w:r>
      <w:r w:rsidRPr="00126EB2">
        <w:rPr>
          <w:rFonts w:ascii="Arial" w:hAnsi="Arial" w:cs="Arial"/>
          <w:sz w:val="24"/>
          <w:u w:val="single"/>
        </w:rPr>
        <w:t xml:space="preserve">: </w:t>
      </w:r>
      <w:r w:rsidR="00A001EA">
        <w:rPr>
          <w:rFonts w:ascii="Arial" w:hAnsi="Arial" w:cs="Arial"/>
          <w:sz w:val="24"/>
          <w:u w:val="single"/>
        </w:rPr>
        <w:t>Growth in indices</w:t>
      </w:r>
    </w:p>
    <w:tbl>
      <w:tblPr>
        <w:tblStyle w:val="TableGrid"/>
        <w:tblW w:w="0" w:type="auto"/>
        <w:jc w:val="center"/>
        <w:tblLook w:val="04A0" w:firstRow="1" w:lastRow="0" w:firstColumn="1" w:lastColumn="0" w:noHBand="0" w:noVBand="1"/>
      </w:tblPr>
      <w:tblGrid>
        <w:gridCol w:w="2223"/>
        <w:gridCol w:w="1657"/>
        <w:gridCol w:w="1434"/>
        <w:gridCol w:w="1374"/>
        <w:gridCol w:w="1374"/>
      </w:tblGrid>
      <w:tr w:rsidR="00C96275" w:rsidRPr="00BD6196" w14:paraId="2A9CDD48" w14:textId="77777777" w:rsidTr="0050412C">
        <w:trPr>
          <w:trHeight w:val="270"/>
          <w:jc w:val="center"/>
        </w:trPr>
        <w:tc>
          <w:tcPr>
            <w:tcW w:w="2223" w:type="dxa"/>
            <w:noWrap/>
            <w:hideMark/>
          </w:tcPr>
          <w:p w14:paraId="69733352" w14:textId="00FC3F3D" w:rsidR="00C96275" w:rsidRPr="00BD6196" w:rsidRDefault="00C96275" w:rsidP="00A001EA">
            <w:pPr>
              <w:spacing w:line="276" w:lineRule="auto"/>
              <w:jc w:val="center"/>
              <w:rPr>
                <w:rFonts w:ascii="Arial" w:hAnsi="Arial" w:cs="Arial"/>
                <w:b/>
                <w:bCs/>
              </w:rPr>
            </w:pPr>
            <w:r w:rsidRPr="00BD6196">
              <w:rPr>
                <w:rFonts w:ascii="Arial" w:hAnsi="Arial" w:cs="Arial"/>
                <w:b/>
                <w:bCs/>
              </w:rPr>
              <w:t xml:space="preserve"> </w:t>
            </w:r>
          </w:p>
        </w:tc>
        <w:tc>
          <w:tcPr>
            <w:tcW w:w="1657" w:type="dxa"/>
            <w:hideMark/>
          </w:tcPr>
          <w:p w14:paraId="0384AF21" w14:textId="77777777" w:rsidR="00C96275" w:rsidRPr="00BD6196" w:rsidRDefault="00C96275" w:rsidP="0050412C">
            <w:pPr>
              <w:spacing w:line="276" w:lineRule="auto"/>
              <w:jc w:val="right"/>
              <w:rPr>
                <w:rFonts w:ascii="Arial" w:hAnsi="Arial" w:cs="Arial"/>
                <w:b/>
                <w:bCs/>
              </w:rPr>
            </w:pPr>
            <w:r w:rsidRPr="00BD6196">
              <w:rPr>
                <w:rFonts w:ascii="Arial" w:hAnsi="Arial" w:cs="Arial"/>
                <w:b/>
                <w:bCs/>
              </w:rPr>
              <w:t>15/16</w:t>
            </w:r>
          </w:p>
        </w:tc>
        <w:tc>
          <w:tcPr>
            <w:tcW w:w="1434" w:type="dxa"/>
            <w:hideMark/>
          </w:tcPr>
          <w:p w14:paraId="143F2C67" w14:textId="77777777" w:rsidR="00C96275" w:rsidRPr="00BD6196" w:rsidRDefault="00C96275" w:rsidP="0050412C">
            <w:pPr>
              <w:spacing w:line="276" w:lineRule="auto"/>
              <w:jc w:val="right"/>
              <w:rPr>
                <w:rFonts w:ascii="Arial" w:hAnsi="Arial" w:cs="Arial"/>
                <w:b/>
                <w:bCs/>
              </w:rPr>
            </w:pPr>
            <w:r w:rsidRPr="00BD6196">
              <w:rPr>
                <w:rFonts w:ascii="Arial" w:hAnsi="Arial" w:cs="Arial"/>
                <w:b/>
                <w:bCs/>
              </w:rPr>
              <w:t>16/17</w:t>
            </w:r>
          </w:p>
        </w:tc>
        <w:tc>
          <w:tcPr>
            <w:tcW w:w="1374" w:type="dxa"/>
            <w:hideMark/>
          </w:tcPr>
          <w:p w14:paraId="569733B9" w14:textId="77777777" w:rsidR="00C96275" w:rsidRPr="00BD6196" w:rsidRDefault="00C96275" w:rsidP="0050412C">
            <w:pPr>
              <w:spacing w:line="276" w:lineRule="auto"/>
              <w:jc w:val="right"/>
              <w:rPr>
                <w:rFonts w:ascii="Arial" w:hAnsi="Arial" w:cs="Arial"/>
                <w:b/>
                <w:bCs/>
              </w:rPr>
            </w:pPr>
            <w:r w:rsidRPr="00BD6196">
              <w:rPr>
                <w:rFonts w:ascii="Arial" w:hAnsi="Arial" w:cs="Arial"/>
                <w:b/>
                <w:bCs/>
              </w:rPr>
              <w:t>17/18</w:t>
            </w:r>
          </w:p>
        </w:tc>
        <w:tc>
          <w:tcPr>
            <w:tcW w:w="1374" w:type="dxa"/>
          </w:tcPr>
          <w:p w14:paraId="01A824EA" w14:textId="77777777" w:rsidR="00C96275" w:rsidRPr="00BD6196" w:rsidRDefault="00C96275" w:rsidP="0050412C">
            <w:pPr>
              <w:spacing w:line="276" w:lineRule="auto"/>
              <w:jc w:val="right"/>
              <w:rPr>
                <w:rFonts w:ascii="Arial" w:hAnsi="Arial" w:cs="Arial"/>
                <w:b/>
                <w:bCs/>
              </w:rPr>
            </w:pPr>
            <w:r>
              <w:rPr>
                <w:rFonts w:ascii="Arial" w:hAnsi="Arial" w:cs="Arial"/>
                <w:b/>
                <w:bCs/>
              </w:rPr>
              <w:t>18/19</w:t>
            </w:r>
          </w:p>
        </w:tc>
      </w:tr>
      <w:tr w:rsidR="00A001EA" w:rsidRPr="00BD6196" w14:paraId="0DBC417C" w14:textId="77777777" w:rsidTr="0050412C">
        <w:trPr>
          <w:trHeight w:val="270"/>
          <w:jc w:val="center"/>
        </w:trPr>
        <w:tc>
          <w:tcPr>
            <w:tcW w:w="2223" w:type="dxa"/>
            <w:noWrap/>
            <w:hideMark/>
          </w:tcPr>
          <w:p w14:paraId="5EE1D671" w14:textId="77777777" w:rsidR="00A001EA" w:rsidRPr="00BD6196" w:rsidRDefault="00A001EA" w:rsidP="00A001EA">
            <w:pPr>
              <w:spacing w:line="276" w:lineRule="auto"/>
              <w:jc w:val="right"/>
              <w:rPr>
                <w:rFonts w:ascii="Arial" w:hAnsi="Arial" w:cs="Arial"/>
              </w:rPr>
            </w:pPr>
            <w:r w:rsidRPr="00BD6196">
              <w:rPr>
                <w:rFonts w:ascii="Arial" w:hAnsi="Arial" w:cs="Arial"/>
              </w:rPr>
              <w:t>NHS Providers</w:t>
            </w:r>
          </w:p>
        </w:tc>
        <w:tc>
          <w:tcPr>
            <w:tcW w:w="1657" w:type="dxa"/>
            <w:noWrap/>
            <w:hideMark/>
          </w:tcPr>
          <w:p w14:paraId="18EC96BD" w14:textId="1FA087AD" w:rsidR="00A001EA" w:rsidRPr="00A001EA" w:rsidRDefault="00A001EA" w:rsidP="00A001EA">
            <w:pPr>
              <w:spacing w:line="276" w:lineRule="auto"/>
              <w:jc w:val="right"/>
              <w:rPr>
                <w:rFonts w:ascii="Arial" w:hAnsi="Arial" w:cs="Arial"/>
              </w:rPr>
            </w:pPr>
            <w:r w:rsidRPr="00A001EA">
              <w:rPr>
                <w:rFonts w:ascii="Arial" w:hAnsi="Arial" w:cs="Arial"/>
              </w:rPr>
              <w:t>1.0035</w:t>
            </w:r>
          </w:p>
        </w:tc>
        <w:tc>
          <w:tcPr>
            <w:tcW w:w="1434" w:type="dxa"/>
            <w:noWrap/>
            <w:hideMark/>
          </w:tcPr>
          <w:p w14:paraId="475F9F2F" w14:textId="471A6F5D" w:rsidR="00A001EA" w:rsidRPr="00A001EA" w:rsidRDefault="00A001EA" w:rsidP="00A001EA">
            <w:pPr>
              <w:spacing w:line="276" w:lineRule="auto"/>
              <w:jc w:val="right"/>
              <w:rPr>
                <w:rFonts w:ascii="Arial" w:hAnsi="Arial" w:cs="Arial"/>
              </w:rPr>
            </w:pPr>
            <w:r w:rsidRPr="00A001EA">
              <w:rPr>
                <w:rFonts w:ascii="Arial" w:hAnsi="Arial" w:cs="Arial"/>
              </w:rPr>
              <w:t>1.0212</w:t>
            </w:r>
          </w:p>
        </w:tc>
        <w:tc>
          <w:tcPr>
            <w:tcW w:w="1374" w:type="dxa"/>
            <w:noWrap/>
            <w:hideMark/>
          </w:tcPr>
          <w:p w14:paraId="3A6AB5B3" w14:textId="19389778" w:rsidR="00A001EA" w:rsidRPr="00A001EA" w:rsidRDefault="00A001EA" w:rsidP="00A001EA">
            <w:pPr>
              <w:spacing w:line="276" w:lineRule="auto"/>
              <w:jc w:val="right"/>
              <w:rPr>
                <w:rFonts w:ascii="Arial" w:hAnsi="Arial" w:cs="Arial"/>
              </w:rPr>
            </w:pPr>
            <w:r w:rsidRPr="00A001EA">
              <w:rPr>
                <w:rFonts w:ascii="Arial" w:hAnsi="Arial" w:cs="Arial"/>
              </w:rPr>
              <w:t>1.0116</w:t>
            </w:r>
          </w:p>
        </w:tc>
        <w:tc>
          <w:tcPr>
            <w:tcW w:w="1374" w:type="dxa"/>
          </w:tcPr>
          <w:p w14:paraId="2AC975E3" w14:textId="41DC1D6B" w:rsidR="00A001EA" w:rsidRPr="00A001EA" w:rsidRDefault="00A001EA" w:rsidP="00A001EA">
            <w:pPr>
              <w:spacing w:line="276" w:lineRule="auto"/>
              <w:jc w:val="right"/>
              <w:rPr>
                <w:rFonts w:ascii="Arial" w:hAnsi="Arial" w:cs="Arial"/>
              </w:rPr>
            </w:pPr>
            <w:r w:rsidRPr="00A001EA">
              <w:rPr>
                <w:rFonts w:ascii="Arial" w:hAnsi="Arial" w:cs="Arial"/>
              </w:rPr>
              <w:t>1.0231</w:t>
            </w:r>
          </w:p>
        </w:tc>
      </w:tr>
      <w:tr w:rsidR="00A001EA" w:rsidRPr="00BD6196" w14:paraId="61EAF963" w14:textId="77777777" w:rsidTr="0050412C">
        <w:trPr>
          <w:trHeight w:val="270"/>
          <w:jc w:val="center"/>
        </w:trPr>
        <w:tc>
          <w:tcPr>
            <w:tcW w:w="2223" w:type="dxa"/>
            <w:noWrap/>
            <w:hideMark/>
          </w:tcPr>
          <w:p w14:paraId="0A28F87C" w14:textId="77777777" w:rsidR="00A001EA" w:rsidRPr="00BD6196" w:rsidRDefault="00A001EA" w:rsidP="00A001EA">
            <w:pPr>
              <w:spacing w:line="276" w:lineRule="auto"/>
              <w:jc w:val="right"/>
              <w:rPr>
                <w:rFonts w:ascii="Arial" w:hAnsi="Arial" w:cs="Arial"/>
              </w:rPr>
            </w:pPr>
            <w:r w:rsidRPr="00BD6196">
              <w:rPr>
                <w:rFonts w:ascii="Arial" w:hAnsi="Arial" w:cs="Arial"/>
              </w:rPr>
              <w:t xml:space="preserve">General Practice </w:t>
            </w:r>
          </w:p>
        </w:tc>
        <w:tc>
          <w:tcPr>
            <w:tcW w:w="1657" w:type="dxa"/>
            <w:noWrap/>
            <w:hideMark/>
          </w:tcPr>
          <w:p w14:paraId="60D156A1" w14:textId="169C4BBE" w:rsidR="00A001EA" w:rsidRPr="00A001EA" w:rsidRDefault="00A001EA" w:rsidP="00A001EA">
            <w:pPr>
              <w:spacing w:line="276" w:lineRule="auto"/>
              <w:jc w:val="right"/>
              <w:rPr>
                <w:rFonts w:ascii="Arial" w:hAnsi="Arial" w:cs="Arial"/>
              </w:rPr>
            </w:pPr>
            <w:r w:rsidRPr="00A001EA">
              <w:rPr>
                <w:rFonts w:ascii="Arial" w:hAnsi="Arial" w:cs="Arial"/>
              </w:rPr>
              <w:t>1.0075</w:t>
            </w:r>
          </w:p>
        </w:tc>
        <w:tc>
          <w:tcPr>
            <w:tcW w:w="1434" w:type="dxa"/>
            <w:noWrap/>
            <w:hideMark/>
          </w:tcPr>
          <w:p w14:paraId="59F5576C" w14:textId="30F1C54F" w:rsidR="00A001EA" w:rsidRPr="00A001EA" w:rsidRDefault="00A001EA" w:rsidP="00A001EA">
            <w:pPr>
              <w:spacing w:line="276" w:lineRule="auto"/>
              <w:jc w:val="right"/>
              <w:rPr>
                <w:rFonts w:ascii="Arial" w:hAnsi="Arial" w:cs="Arial"/>
              </w:rPr>
            </w:pPr>
            <w:r w:rsidRPr="00A001EA">
              <w:rPr>
                <w:rFonts w:ascii="Arial" w:hAnsi="Arial" w:cs="Arial"/>
              </w:rPr>
              <w:t>1.0247</w:t>
            </w:r>
          </w:p>
        </w:tc>
        <w:tc>
          <w:tcPr>
            <w:tcW w:w="1374" w:type="dxa"/>
            <w:noWrap/>
            <w:hideMark/>
          </w:tcPr>
          <w:p w14:paraId="3427AA85" w14:textId="01A3FDA8" w:rsidR="00A001EA" w:rsidRPr="00A001EA" w:rsidRDefault="00A001EA" w:rsidP="00A001EA">
            <w:pPr>
              <w:spacing w:line="276" w:lineRule="auto"/>
              <w:jc w:val="right"/>
              <w:rPr>
                <w:rFonts w:ascii="Arial" w:hAnsi="Arial" w:cs="Arial"/>
              </w:rPr>
            </w:pPr>
            <w:r w:rsidRPr="00A001EA">
              <w:rPr>
                <w:rFonts w:ascii="Arial" w:hAnsi="Arial" w:cs="Arial"/>
              </w:rPr>
              <w:t>1.0263</w:t>
            </w:r>
          </w:p>
        </w:tc>
        <w:tc>
          <w:tcPr>
            <w:tcW w:w="1374" w:type="dxa"/>
          </w:tcPr>
          <w:p w14:paraId="70C57373" w14:textId="373FBFCB" w:rsidR="00A001EA" w:rsidRPr="00A001EA" w:rsidRDefault="00A001EA" w:rsidP="00A001EA">
            <w:pPr>
              <w:spacing w:line="276" w:lineRule="auto"/>
              <w:jc w:val="right"/>
              <w:rPr>
                <w:rFonts w:ascii="Arial" w:hAnsi="Arial" w:cs="Arial"/>
              </w:rPr>
            </w:pPr>
            <w:r w:rsidRPr="00A001EA">
              <w:rPr>
                <w:rFonts w:ascii="Arial" w:hAnsi="Arial" w:cs="Arial"/>
              </w:rPr>
              <w:t>1.0287</w:t>
            </w:r>
          </w:p>
        </w:tc>
      </w:tr>
      <w:tr w:rsidR="00A001EA" w:rsidRPr="00BD6196" w14:paraId="7C9F71E4" w14:textId="77777777" w:rsidTr="0050412C">
        <w:trPr>
          <w:trHeight w:val="270"/>
          <w:jc w:val="center"/>
        </w:trPr>
        <w:tc>
          <w:tcPr>
            <w:tcW w:w="2223" w:type="dxa"/>
            <w:noWrap/>
            <w:hideMark/>
          </w:tcPr>
          <w:p w14:paraId="0E6E397D" w14:textId="77777777" w:rsidR="00A001EA" w:rsidRPr="00BD6196" w:rsidRDefault="00A001EA" w:rsidP="00A001EA">
            <w:pPr>
              <w:spacing w:line="276" w:lineRule="auto"/>
              <w:jc w:val="right"/>
              <w:rPr>
                <w:rFonts w:ascii="Arial" w:hAnsi="Arial" w:cs="Arial"/>
              </w:rPr>
            </w:pPr>
            <w:r w:rsidRPr="00BD6196">
              <w:rPr>
                <w:rFonts w:ascii="Arial" w:hAnsi="Arial" w:cs="Arial"/>
              </w:rPr>
              <w:t>Prescribing</w:t>
            </w:r>
          </w:p>
        </w:tc>
        <w:tc>
          <w:tcPr>
            <w:tcW w:w="1657" w:type="dxa"/>
            <w:noWrap/>
            <w:hideMark/>
          </w:tcPr>
          <w:p w14:paraId="35A020D1" w14:textId="5997D3B6" w:rsidR="00A001EA" w:rsidRPr="00A001EA" w:rsidRDefault="00A001EA" w:rsidP="00A001EA">
            <w:pPr>
              <w:spacing w:line="276" w:lineRule="auto"/>
              <w:jc w:val="right"/>
              <w:rPr>
                <w:rFonts w:ascii="Arial" w:hAnsi="Arial" w:cs="Arial"/>
              </w:rPr>
            </w:pPr>
            <w:r w:rsidRPr="00A001EA">
              <w:rPr>
                <w:rFonts w:ascii="Arial" w:hAnsi="Arial" w:cs="Arial"/>
              </w:rPr>
              <w:t>0.9993</w:t>
            </w:r>
          </w:p>
        </w:tc>
        <w:tc>
          <w:tcPr>
            <w:tcW w:w="1434" w:type="dxa"/>
            <w:noWrap/>
            <w:hideMark/>
          </w:tcPr>
          <w:p w14:paraId="5B17B270" w14:textId="4B8DDD54" w:rsidR="00A001EA" w:rsidRPr="00A001EA" w:rsidRDefault="00A001EA" w:rsidP="00A001EA">
            <w:pPr>
              <w:spacing w:line="276" w:lineRule="auto"/>
              <w:jc w:val="right"/>
              <w:rPr>
                <w:rFonts w:ascii="Arial" w:hAnsi="Arial" w:cs="Arial"/>
              </w:rPr>
            </w:pPr>
            <w:r w:rsidRPr="00A001EA">
              <w:rPr>
                <w:rFonts w:ascii="Arial" w:hAnsi="Arial" w:cs="Arial"/>
              </w:rPr>
              <w:t>0.9300</w:t>
            </w:r>
          </w:p>
        </w:tc>
        <w:tc>
          <w:tcPr>
            <w:tcW w:w="1374" w:type="dxa"/>
            <w:noWrap/>
            <w:hideMark/>
          </w:tcPr>
          <w:p w14:paraId="37255B97" w14:textId="2B21EE21" w:rsidR="00A001EA" w:rsidRPr="00A001EA" w:rsidRDefault="00A001EA" w:rsidP="00A001EA">
            <w:pPr>
              <w:spacing w:line="276" w:lineRule="auto"/>
              <w:jc w:val="right"/>
              <w:rPr>
                <w:rFonts w:ascii="Arial" w:hAnsi="Arial" w:cs="Arial"/>
              </w:rPr>
            </w:pPr>
            <w:r w:rsidRPr="00A001EA">
              <w:rPr>
                <w:rFonts w:ascii="Arial" w:hAnsi="Arial" w:cs="Arial"/>
              </w:rPr>
              <w:t>0.9742</w:t>
            </w:r>
          </w:p>
        </w:tc>
        <w:tc>
          <w:tcPr>
            <w:tcW w:w="1374" w:type="dxa"/>
          </w:tcPr>
          <w:p w14:paraId="2F376EB9" w14:textId="77777777" w:rsidR="00A001EA" w:rsidRPr="00A001EA" w:rsidRDefault="00A001EA" w:rsidP="00A001EA">
            <w:pPr>
              <w:spacing w:line="276" w:lineRule="auto"/>
              <w:jc w:val="right"/>
              <w:rPr>
                <w:rFonts w:ascii="Arial" w:hAnsi="Arial" w:cs="Arial"/>
              </w:rPr>
            </w:pPr>
          </w:p>
        </w:tc>
      </w:tr>
      <w:tr w:rsidR="00A001EA" w:rsidRPr="00BD6196" w14:paraId="3094F1EE" w14:textId="77777777" w:rsidTr="0050412C">
        <w:trPr>
          <w:trHeight w:val="270"/>
          <w:jc w:val="center"/>
        </w:trPr>
        <w:tc>
          <w:tcPr>
            <w:tcW w:w="2223" w:type="dxa"/>
            <w:noWrap/>
            <w:hideMark/>
          </w:tcPr>
          <w:p w14:paraId="0BE12AFF" w14:textId="77777777" w:rsidR="00A001EA" w:rsidRPr="00BD6196" w:rsidRDefault="00A001EA" w:rsidP="00A001EA">
            <w:pPr>
              <w:spacing w:line="276" w:lineRule="auto"/>
              <w:jc w:val="right"/>
              <w:rPr>
                <w:rFonts w:ascii="Arial" w:hAnsi="Arial" w:cs="Arial"/>
              </w:rPr>
            </w:pPr>
            <w:r w:rsidRPr="00BD6196">
              <w:rPr>
                <w:rFonts w:ascii="Arial" w:hAnsi="Arial" w:cs="Arial"/>
              </w:rPr>
              <w:t>Dentistry</w:t>
            </w:r>
          </w:p>
        </w:tc>
        <w:tc>
          <w:tcPr>
            <w:tcW w:w="1657" w:type="dxa"/>
            <w:noWrap/>
            <w:hideMark/>
          </w:tcPr>
          <w:p w14:paraId="583B3328" w14:textId="0F0E4B7D" w:rsidR="00A001EA" w:rsidRPr="00A001EA" w:rsidRDefault="00A001EA" w:rsidP="00A001EA">
            <w:pPr>
              <w:spacing w:line="276" w:lineRule="auto"/>
              <w:jc w:val="right"/>
              <w:rPr>
                <w:rFonts w:ascii="Arial" w:hAnsi="Arial" w:cs="Arial"/>
              </w:rPr>
            </w:pPr>
            <w:r w:rsidRPr="00A001EA">
              <w:rPr>
                <w:rFonts w:ascii="Arial" w:hAnsi="Arial" w:cs="Arial"/>
              </w:rPr>
              <w:t>0.9921</w:t>
            </w:r>
          </w:p>
        </w:tc>
        <w:tc>
          <w:tcPr>
            <w:tcW w:w="1434" w:type="dxa"/>
            <w:noWrap/>
            <w:hideMark/>
          </w:tcPr>
          <w:p w14:paraId="72265A0C" w14:textId="731B7F6E" w:rsidR="00A001EA" w:rsidRPr="00A001EA" w:rsidRDefault="00A001EA" w:rsidP="00A001EA">
            <w:pPr>
              <w:spacing w:line="276" w:lineRule="auto"/>
              <w:jc w:val="right"/>
              <w:rPr>
                <w:rFonts w:ascii="Arial" w:hAnsi="Arial" w:cs="Arial"/>
              </w:rPr>
            </w:pPr>
            <w:r w:rsidRPr="00A001EA">
              <w:rPr>
                <w:rFonts w:ascii="Arial" w:hAnsi="Arial" w:cs="Arial"/>
              </w:rPr>
              <w:t>1.0023</w:t>
            </w:r>
          </w:p>
        </w:tc>
        <w:tc>
          <w:tcPr>
            <w:tcW w:w="1374" w:type="dxa"/>
            <w:noWrap/>
            <w:hideMark/>
          </w:tcPr>
          <w:p w14:paraId="44597A5E" w14:textId="40CD7F8F" w:rsidR="00A001EA" w:rsidRPr="00A001EA" w:rsidRDefault="00A001EA" w:rsidP="00A001EA">
            <w:pPr>
              <w:spacing w:line="276" w:lineRule="auto"/>
              <w:jc w:val="right"/>
              <w:rPr>
                <w:rFonts w:ascii="Arial" w:hAnsi="Arial" w:cs="Arial"/>
              </w:rPr>
            </w:pPr>
            <w:r w:rsidRPr="00A001EA">
              <w:rPr>
                <w:rFonts w:ascii="Arial" w:hAnsi="Arial" w:cs="Arial"/>
              </w:rPr>
              <w:t>1.0074</w:t>
            </w:r>
          </w:p>
        </w:tc>
        <w:tc>
          <w:tcPr>
            <w:tcW w:w="1374" w:type="dxa"/>
          </w:tcPr>
          <w:p w14:paraId="37B8334D" w14:textId="68752B4C" w:rsidR="00A001EA" w:rsidRPr="00A001EA" w:rsidRDefault="00A001EA" w:rsidP="00A001EA">
            <w:pPr>
              <w:spacing w:line="276" w:lineRule="auto"/>
              <w:jc w:val="right"/>
              <w:rPr>
                <w:rFonts w:ascii="Arial" w:hAnsi="Arial" w:cs="Arial"/>
              </w:rPr>
            </w:pPr>
            <w:r w:rsidRPr="00A001EA">
              <w:rPr>
                <w:rFonts w:ascii="Arial" w:hAnsi="Arial" w:cs="Arial"/>
              </w:rPr>
              <w:t>1.0046</w:t>
            </w:r>
          </w:p>
        </w:tc>
      </w:tr>
    </w:tbl>
    <w:p w14:paraId="46BAC7F9" w14:textId="77777777" w:rsidR="00A001EA" w:rsidRDefault="00A001EA" w:rsidP="00A001EA">
      <w:pPr>
        <w:pStyle w:val="ListParagraph"/>
        <w:spacing w:after="0" w:line="276" w:lineRule="auto"/>
        <w:ind w:left="360"/>
        <w:jc w:val="center"/>
        <w:rPr>
          <w:rFonts w:ascii="Arial" w:hAnsi="Arial" w:cs="Arial"/>
          <w:sz w:val="24"/>
          <w:u w:val="single"/>
        </w:rPr>
      </w:pPr>
    </w:p>
    <w:p w14:paraId="13123FC7" w14:textId="0AE322CD" w:rsidR="00A001EA" w:rsidRPr="00126EB2" w:rsidRDefault="00A001EA" w:rsidP="00A001EA">
      <w:pPr>
        <w:pStyle w:val="ListParagraph"/>
        <w:spacing w:after="0" w:line="276" w:lineRule="auto"/>
        <w:ind w:left="360"/>
        <w:jc w:val="center"/>
        <w:rPr>
          <w:rFonts w:ascii="Arial" w:hAnsi="Arial" w:cs="Arial"/>
          <w:sz w:val="24"/>
        </w:rPr>
      </w:pPr>
      <w:r w:rsidRPr="00126EB2">
        <w:rPr>
          <w:rFonts w:ascii="Arial" w:hAnsi="Arial" w:cs="Arial"/>
          <w:sz w:val="24"/>
          <w:u w:val="single"/>
        </w:rPr>
        <w:t xml:space="preserve">Table </w:t>
      </w:r>
      <w:r>
        <w:rPr>
          <w:rFonts w:ascii="Arial" w:hAnsi="Arial" w:cs="Arial"/>
          <w:sz w:val="24"/>
          <w:u w:val="single"/>
        </w:rPr>
        <w:t>22</w:t>
      </w:r>
      <w:r w:rsidRPr="00126EB2">
        <w:rPr>
          <w:rFonts w:ascii="Arial" w:hAnsi="Arial" w:cs="Arial"/>
          <w:sz w:val="24"/>
          <w:u w:val="single"/>
        </w:rPr>
        <w:t xml:space="preserve">: </w:t>
      </w:r>
      <w:r>
        <w:rPr>
          <w:rFonts w:ascii="Arial" w:hAnsi="Arial" w:cs="Arial"/>
          <w:sz w:val="24"/>
          <w:u w:val="single"/>
        </w:rPr>
        <w:t>Expenditure share/growth in deflator</w:t>
      </w:r>
    </w:p>
    <w:tbl>
      <w:tblPr>
        <w:tblStyle w:val="TableGrid"/>
        <w:tblW w:w="0" w:type="auto"/>
        <w:jc w:val="center"/>
        <w:tblLook w:val="04A0" w:firstRow="1" w:lastRow="0" w:firstColumn="1" w:lastColumn="0" w:noHBand="0" w:noVBand="1"/>
      </w:tblPr>
      <w:tblGrid>
        <w:gridCol w:w="2223"/>
        <w:gridCol w:w="1657"/>
        <w:gridCol w:w="1434"/>
        <w:gridCol w:w="1374"/>
        <w:gridCol w:w="1374"/>
      </w:tblGrid>
      <w:tr w:rsidR="00A001EA" w:rsidRPr="00BD6196" w14:paraId="373D2457" w14:textId="77777777" w:rsidTr="0050412C">
        <w:trPr>
          <w:trHeight w:val="270"/>
          <w:jc w:val="center"/>
        </w:trPr>
        <w:tc>
          <w:tcPr>
            <w:tcW w:w="2223" w:type="dxa"/>
            <w:noWrap/>
            <w:hideMark/>
          </w:tcPr>
          <w:p w14:paraId="3E25834B" w14:textId="70E76E0D" w:rsidR="00A001EA" w:rsidRPr="00BD6196" w:rsidRDefault="00A001EA" w:rsidP="0050412C">
            <w:pPr>
              <w:spacing w:line="276" w:lineRule="auto"/>
              <w:jc w:val="right"/>
              <w:rPr>
                <w:rFonts w:ascii="Arial" w:hAnsi="Arial" w:cs="Arial"/>
                <w:b/>
                <w:bCs/>
              </w:rPr>
            </w:pPr>
            <w:r w:rsidRPr="00BD6196">
              <w:rPr>
                <w:rFonts w:ascii="Arial" w:hAnsi="Arial" w:cs="Arial"/>
                <w:b/>
                <w:bCs/>
              </w:rPr>
              <w:t xml:space="preserve"> </w:t>
            </w:r>
          </w:p>
        </w:tc>
        <w:tc>
          <w:tcPr>
            <w:tcW w:w="1657" w:type="dxa"/>
            <w:hideMark/>
          </w:tcPr>
          <w:p w14:paraId="402AB175" w14:textId="77777777" w:rsidR="00A001EA" w:rsidRPr="00BD6196" w:rsidRDefault="00A001EA" w:rsidP="0050412C">
            <w:pPr>
              <w:spacing w:line="276" w:lineRule="auto"/>
              <w:jc w:val="right"/>
              <w:rPr>
                <w:rFonts w:ascii="Arial" w:hAnsi="Arial" w:cs="Arial"/>
                <w:b/>
                <w:bCs/>
              </w:rPr>
            </w:pPr>
            <w:r w:rsidRPr="00BD6196">
              <w:rPr>
                <w:rFonts w:ascii="Arial" w:hAnsi="Arial" w:cs="Arial"/>
                <w:b/>
                <w:bCs/>
              </w:rPr>
              <w:t>15/16</w:t>
            </w:r>
          </w:p>
        </w:tc>
        <w:tc>
          <w:tcPr>
            <w:tcW w:w="1434" w:type="dxa"/>
            <w:hideMark/>
          </w:tcPr>
          <w:p w14:paraId="40E6ADD8" w14:textId="77777777" w:rsidR="00A001EA" w:rsidRPr="00BD6196" w:rsidRDefault="00A001EA" w:rsidP="0050412C">
            <w:pPr>
              <w:spacing w:line="276" w:lineRule="auto"/>
              <w:jc w:val="right"/>
              <w:rPr>
                <w:rFonts w:ascii="Arial" w:hAnsi="Arial" w:cs="Arial"/>
                <w:b/>
                <w:bCs/>
              </w:rPr>
            </w:pPr>
            <w:r w:rsidRPr="00BD6196">
              <w:rPr>
                <w:rFonts w:ascii="Arial" w:hAnsi="Arial" w:cs="Arial"/>
                <w:b/>
                <w:bCs/>
              </w:rPr>
              <w:t>16/17</w:t>
            </w:r>
          </w:p>
        </w:tc>
        <w:tc>
          <w:tcPr>
            <w:tcW w:w="1374" w:type="dxa"/>
            <w:hideMark/>
          </w:tcPr>
          <w:p w14:paraId="6CA8173A" w14:textId="77777777" w:rsidR="00A001EA" w:rsidRPr="00BD6196" w:rsidRDefault="00A001EA" w:rsidP="0050412C">
            <w:pPr>
              <w:spacing w:line="276" w:lineRule="auto"/>
              <w:jc w:val="right"/>
              <w:rPr>
                <w:rFonts w:ascii="Arial" w:hAnsi="Arial" w:cs="Arial"/>
                <w:b/>
                <w:bCs/>
              </w:rPr>
            </w:pPr>
            <w:r w:rsidRPr="00BD6196">
              <w:rPr>
                <w:rFonts w:ascii="Arial" w:hAnsi="Arial" w:cs="Arial"/>
                <w:b/>
                <w:bCs/>
              </w:rPr>
              <w:t>17/18</w:t>
            </w:r>
          </w:p>
        </w:tc>
        <w:tc>
          <w:tcPr>
            <w:tcW w:w="1374" w:type="dxa"/>
          </w:tcPr>
          <w:p w14:paraId="078FEB28" w14:textId="77777777" w:rsidR="00A001EA" w:rsidRPr="00BD6196" w:rsidRDefault="00A001EA" w:rsidP="0050412C">
            <w:pPr>
              <w:spacing w:line="276" w:lineRule="auto"/>
              <w:jc w:val="right"/>
              <w:rPr>
                <w:rFonts w:ascii="Arial" w:hAnsi="Arial" w:cs="Arial"/>
                <w:b/>
                <w:bCs/>
              </w:rPr>
            </w:pPr>
            <w:r>
              <w:rPr>
                <w:rFonts w:ascii="Arial" w:hAnsi="Arial" w:cs="Arial"/>
                <w:b/>
                <w:bCs/>
              </w:rPr>
              <w:t>18/19</w:t>
            </w:r>
          </w:p>
        </w:tc>
      </w:tr>
      <w:tr w:rsidR="00A001EA" w:rsidRPr="00BD6196" w14:paraId="278EF94B" w14:textId="77777777" w:rsidTr="0050412C">
        <w:trPr>
          <w:trHeight w:val="270"/>
          <w:jc w:val="center"/>
        </w:trPr>
        <w:tc>
          <w:tcPr>
            <w:tcW w:w="2223" w:type="dxa"/>
            <w:noWrap/>
            <w:hideMark/>
          </w:tcPr>
          <w:p w14:paraId="3FA7EA08" w14:textId="77777777" w:rsidR="00A001EA" w:rsidRPr="00BD6196" w:rsidRDefault="00A001EA" w:rsidP="00A001EA">
            <w:pPr>
              <w:spacing w:line="276" w:lineRule="auto"/>
              <w:jc w:val="right"/>
              <w:rPr>
                <w:rFonts w:ascii="Arial" w:hAnsi="Arial" w:cs="Arial"/>
              </w:rPr>
            </w:pPr>
            <w:r w:rsidRPr="00BD6196">
              <w:rPr>
                <w:rFonts w:ascii="Arial" w:hAnsi="Arial" w:cs="Arial"/>
              </w:rPr>
              <w:t>NHS Providers</w:t>
            </w:r>
          </w:p>
        </w:tc>
        <w:tc>
          <w:tcPr>
            <w:tcW w:w="1657" w:type="dxa"/>
            <w:noWrap/>
            <w:hideMark/>
          </w:tcPr>
          <w:p w14:paraId="27CA193D" w14:textId="4F362751" w:rsidR="00A001EA" w:rsidRPr="00A001EA" w:rsidRDefault="00A001EA" w:rsidP="00A001EA">
            <w:pPr>
              <w:spacing w:line="276" w:lineRule="auto"/>
              <w:jc w:val="right"/>
              <w:rPr>
                <w:rFonts w:ascii="Arial" w:hAnsi="Arial" w:cs="Arial"/>
              </w:rPr>
            </w:pPr>
            <w:r w:rsidRPr="00A001EA">
              <w:rPr>
                <w:rFonts w:ascii="Arial" w:hAnsi="Arial" w:cs="Arial"/>
              </w:rPr>
              <w:t>0.7991</w:t>
            </w:r>
          </w:p>
        </w:tc>
        <w:tc>
          <w:tcPr>
            <w:tcW w:w="1434" w:type="dxa"/>
            <w:noWrap/>
            <w:hideMark/>
          </w:tcPr>
          <w:p w14:paraId="0F36F4F5" w14:textId="6E05AA80" w:rsidR="00A001EA" w:rsidRPr="00A001EA" w:rsidRDefault="00A001EA" w:rsidP="00A001EA">
            <w:pPr>
              <w:spacing w:line="276" w:lineRule="auto"/>
              <w:jc w:val="right"/>
              <w:rPr>
                <w:rFonts w:ascii="Arial" w:hAnsi="Arial" w:cs="Arial"/>
              </w:rPr>
            </w:pPr>
            <w:r w:rsidRPr="00A001EA">
              <w:rPr>
                <w:rFonts w:ascii="Arial" w:hAnsi="Arial" w:cs="Arial"/>
              </w:rPr>
              <w:t>0.7878</w:t>
            </w:r>
          </w:p>
        </w:tc>
        <w:tc>
          <w:tcPr>
            <w:tcW w:w="1374" w:type="dxa"/>
            <w:noWrap/>
            <w:hideMark/>
          </w:tcPr>
          <w:p w14:paraId="4A600C88" w14:textId="2430B4AC" w:rsidR="00A001EA" w:rsidRPr="00A001EA" w:rsidRDefault="00A001EA" w:rsidP="00A001EA">
            <w:pPr>
              <w:spacing w:line="276" w:lineRule="auto"/>
              <w:jc w:val="right"/>
              <w:rPr>
                <w:rFonts w:ascii="Arial" w:hAnsi="Arial" w:cs="Arial"/>
              </w:rPr>
            </w:pPr>
            <w:r w:rsidRPr="00A001EA">
              <w:rPr>
                <w:rFonts w:ascii="Arial" w:hAnsi="Arial" w:cs="Arial"/>
              </w:rPr>
              <w:t>0.7955</w:t>
            </w:r>
          </w:p>
        </w:tc>
        <w:tc>
          <w:tcPr>
            <w:tcW w:w="1374" w:type="dxa"/>
          </w:tcPr>
          <w:p w14:paraId="61CD99B7" w14:textId="5DDAA325" w:rsidR="00A001EA" w:rsidRPr="00A001EA" w:rsidRDefault="00A001EA" w:rsidP="00A001EA">
            <w:pPr>
              <w:spacing w:line="276" w:lineRule="auto"/>
              <w:jc w:val="right"/>
              <w:rPr>
                <w:rFonts w:ascii="Arial" w:hAnsi="Arial" w:cs="Arial"/>
              </w:rPr>
            </w:pPr>
            <w:r w:rsidRPr="00A001EA">
              <w:rPr>
                <w:rFonts w:ascii="Arial" w:hAnsi="Arial" w:cs="Arial"/>
              </w:rPr>
              <w:t>0.8653</w:t>
            </w:r>
          </w:p>
        </w:tc>
      </w:tr>
      <w:tr w:rsidR="00A001EA" w:rsidRPr="00BD6196" w14:paraId="350230E8" w14:textId="77777777" w:rsidTr="0050412C">
        <w:trPr>
          <w:trHeight w:val="270"/>
          <w:jc w:val="center"/>
        </w:trPr>
        <w:tc>
          <w:tcPr>
            <w:tcW w:w="2223" w:type="dxa"/>
            <w:noWrap/>
            <w:hideMark/>
          </w:tcPr>
          <w:p w14:paraId="32FE76BB" w14:textId="77777777" w:rsidR="00A001EA" w:rsidRPr="00BD6196" w:rsidRDefault="00A001EA" w:rsidP="00A001EA">
            <w:pPr>
              <w:spacing w:line="276" w:lineRule="auto"/>
              <w:jc w:val="right"/>
              <w:rPr>
                <w:rFonts w:ascii="Arial" w:hAnsi="Arial" w:cs="Arial"/>
              </w:rPr>
            </w:pPr>
            <w:r w:rsidRPr="00BD6196">
              <w:rPr>
                <w:rFonts w:ascii="Arial" w:hAnsi="Arial" w:cs="Arial"/>
              </w:rPr>
              <w:t xml:space="preserve">General Practice </w:t>
            </w:r>
          </w:p>
        </w:tc>
        <w:tc>
          <w:tcPr>
            <w:tcW w:w="1657" w:type="dxa"/>
            <w:noWrap/>
            <w:hideMark/>
          </w:tcPr>
          <w:p w14:paraId="671DBE85" w14:textId="6415C435" w:rsidR="00A001EA" w:rsidRPr="00A001EA" w:rsidRDefault="00A001EA" w:rsidP="00A001EA">
            <w:pPr>
              <w:spacing w:line="276" w:lineRule="auto"/>
              <w:jc w:val="right"/>
              <w:rPr>
                <w:rFonts w:ascii="Arial" w:hAnsi="Arial" w:cs="Arial"/>
              </w:rPr>
            </w:pPr>
            <w:r w:rsidRPr="00A001EA">
              <w:rPr>
                <w:rFonts w:ascii="Arial" w:hAnsi="Arial" w:cs="Arial"/>
              </w:rPr>
              <w:t>0.0799</w:t>
            </w:r>
          </w:p>
        </w:tc>
        <w:tc>
          <w:tcPr>
            <w:tcW w:w="1434" w:type="dxa"/>
            <w:noWrap/>
            <w:hideMark/>
          </w:tcPr>
          <w:p w14:paraId="7B22E54E" w14:textId="6A6E4EAE" w:rsidR="00A001EA" w:rsidRPr="00A001EA" w:rsidRDefault="00A001EA" w:rsidP="00A001EA">
            <w:pPr>
              <w:spacing w:line="276" w:lineRule="auto"/>
              <w:jc w:val="right"/>
              <w:rPr>
                <w:rFonts w:ascii="Arial" w:hAnsi="Arial" w:cs="Arial"/>
              </w:rPr>
            </w:pPr>
            <w:r w:rsidRPr="00A001EA">
              <w:rPr>
                <w:rFonts w:ascii="Arial" w:hAnsi="Arial" w:cs="Arial"/>
              </w:rPr>
              <w:t>0.0788</w:t>
            </w:r>
          </w:p>
        </w:tc>
        <w:tc>
          <w:tcPr>
            <w:tcW w:w="1374" w:type="dxa"/>
            <w:noWrap/>
            <w:hideMark/>
          </w:tcPr>
          <w:p w14:paraId="04C3DE3F" w14:textId="77ADD50A" w:rsidR="00A001EA" w:rsidRPr="00A001EA" w:rsidRDefault="00A001EA" w:rsidP="00A001EA">
            <w:pPr>
              <w:spacing w:line="276" w:lineRule="auto"/>
              <w:jc w:val="right"/>
              <w:rPr>
                <w:rFonts w:ascii="Arial" w:hAnsi="Arial" w:cs="Arial"/>
              </w:rPr>
            </w:pPr>
            <w:r w:rsidRPr="00A001EA">
              <w:rPr>
                <w:rFonts w:ascii="Arial" w:hAnsi="Arial" w:cs="Arial"/>
              </w:rPr>
              <w:t>0.0800</w:t>
            </w:r>
          </w:p>
        </w:tc>
        <w:tc>
          <w:tcPr>
            <w:tcW w:w="1374" w:type="dxa"/>
          </w:tcPr>
          <w:p w14:paraId="6931C291" w14:textId="4C73213C" w:rsidR="00A001EA" w:rsidRPr="00A001EA" w:rsidRDefault="00A001EA" w:rsidP="00A001EA">
            <w:pPr>
              <w:spacing w:line="276" w:lineRule="auto"/>
              <w:jc w:val="right"/>
              <w:rPr>
                <w:rFonts w:ascii="Arial" w:hAnsi="Arial" w:cs="Arial"/>
              </w:rPr>
            </w:pPr>
            <w:r w:rsidRPr="00A001EA">
              <w:rPr>
                <w:rFonts w:ascii="Arial" w:hAnsi="Arial" w:cs="Arial"/>
              </w:rPr>
              <w:t>0.0833</w:t>
            </w:r>
          </w:p>
        </w:tc>
      </w:tr>
      <w:tr w:rsidR="00A001EA" w:rsidRPr="00BD6196" w14:paraId="6D9A3A08" w14:textId="77777777" w:rsidTr="0050412C">
        <w:trPr>
          <w:trHeight w:val="270"/>
          <w:jc w:val="center"/>
        </w:trPr>
        <w:tc>
          <w:tcPr>
            <w:tcW w:w="2223" w:type="dxa"/>
            <w:noWrap/>
            <w:hideMark/>
          </w:tcPr>
          <w:p w14:paraId="301B1444" w14:textId="77777777" w:rsidR="00A001EA" w:rsidRPr="00BD6196" w:rsidRDefault="00A001EA" w:rsidP="00A001EA">
            <w:pPr>
              <w:spacing w:line="276" w:lineRule="auto"/>
              <w:jc w:val="right"/>
              <w:rPr>
                <w:rFonts w:ascii="Arial" w:hAnsi="Arial" w:cs="Arial"/>
              </w:rPr>
            </w:pPr>
            <w:r w:rsidRPr="00BD6196">
              <w:rPr>
                <w:rFonts w:ascii="Arial" w:hAnsi="Arial" w:cs="Arial"/>
              </w:rPr>
              <w:t>Prescribing</w:t>
            </w:r>
          </w:p>
        </w:tc>
        <w:tc>
          <w:tcPr>
            <w:tcW w:w="1657" w:type="dxa"/>
            <w:noWrap/>
            <w:hideMark/>
          </w:tcPr>
          <w:p w14:paraId="19E54255" w14:textId="540B2B09" w:rsidR="00A001EA" w:rsidRPr="00A001EA" w:rsidRDefault="00A001EA" w:rsidP="00A001EA">
            <w:pPr>
              <w:spacing w:line="276" w:lineRule="auto"/>
              <w:jc w:val="right"/>
              <w:rPr>
                <w:rFonts w:ascii="Arial" w:hAnsi="Arial" w:cs="Arial"/>
              </w:rPr>
            </w:pPr>
            <w:r w:rsidRPr="00A001EA">
              <w:rPr>
                <w:rFonts w:ascii="Arial" w:hAnsi="Arial" w:cs="Arial"/>
              </w:rPr>
              <w:t>0.0886</w:t>
            </w:r>
          </w:p>
        </w:tc>
        <w:tc>
          <w:tcPr>
            <w:tcW w:w="1434" w:type="dxa"/>
            <w:noWrap/>
            <w:hideMark/>
          </w:tcPr>
          <w:p w14:paraId="0B2E7140" w14:textId="59EADDE1" w:rsidR="00A001EA" w:rsidRPr="00A001EA" w:rsidRDefault="00A001EA" w:rsidP="00A001EA">
            <w:pPr>
              <w:spacing w:line="276" w:lineRule="auto"/>
              <w:jc w:val="right"/>
              <w:rPr>
                <w:rFonts w:ascii="Arial" w:hAnsi="Arial" w:cs="Arial"/>
              </w:rPr>
            </w:pPr>
            <w:r w:rsidRPr="00A001EA">
              <w:rPr>
                <w:rFonts w:ascii="Arial" w:hAnsi="Arial" w:cs="Arial"/>
              </w:rPr>
              <w:t>0.0932</w:t>
            </w:r>
          </w:p>
        </w:tc>
        <w:tc>
          <w:tcPr>
            <w:tcW w:w="1374" w:type="dxa"/>
            <w:noWrap/>
            <w:hideMark/>
          </w:tcPr>
          <w:p w14:paraId="0FBB6AD6" w14:textId="47EA5D01" w:rsidR="00A001EA" w:rsidRPr="00A001EA" w:rsidRDefault="00A001EA" w:rsidP="00A001EA">
            <w:pPr>
              <w:spacing w:line="276" w:lineRule="auto"/>
              <w:jc w:val="right"/>
              <w:rPr>
                <w:rFonts w:ascii="Arial" w:hAnsi="Arial" w:cs="Arial"/>
              </w:rPr>
            </w:pPr>
            <w:r w:rsidRPr="00A001EA">
              <w:rPr>
                <w:rFonts w:ascii="Arial" w:hAnsi="Arial" w:cs="Arial"/>
              </w:rPr>
              <w:t>0.0874</w:t>
            </w:r>
          </w:p>
        </w:tc>
        <w:tc>
          <w:tcPr>
            <w:tcW w:w="1374" w:type="dxa"/>
          </w:tcPr>
          <w:p w14:paraId="23FE4B44" w14:textId="77777777" w:rsidR="00A001EA" w:rsidRPr="00A001EA" w:rsidRDefault="00A001EA" w:rsidP="00A001EA">
            <w:pPr>
              <w:spacing w:line="276" w:lineRule="auto"/>
              <w:jc w:val="right"/>
              <w:rPr>
                <w:rFonts w:ascii="Arial" w:hAnsi="Arial" w:cs="Arial"/>
              </w:rPr>
            </w:pPr>
          </w:p>
        </w:tc>
      </w:tr>
      <w:tr w:rsidR="00A001EA" w:rsidRPr="00BD6196" w14:paraId="35B87E16" w14:textId="77777777" w:rsidTr="0050412C">
        <w:trPr>
          <w:trHeight w:val="270"/>
          <w:jc w:val="center"/>
        </w:trPr>
        <w:tc>
          <w:tcPr>
            <w:tcW w:w="2223" w:type="dxa"/>
            <w:noWrap/>
            <w:hideMark/>
          </w:tcPr>
          <w:p w14:paraId="50B125F0" w14:textId="77777777" w:rsidR="00A001EA" w:rsidRPr="00BD6196" w:rsidRDefault="00A001EA" w:rsidP="00A001EA">
            <w:pPr>
              <w:spacing w:line="276" w:lineRule="auto"/>
              <w:jc w:val="right"/>
              <w:rPr>
                <w:rFonts w:ascii="Arial" w:hAnsi="Arial" w:cs="Arial"/>
              </w:rPr>
            </w:pPr>
            <w:r w:rsidRPr="00BD6196">
              <w:rPr>
                <w:rFonts w:ascii="Arial" w:hAnsi="Arial" w:cs="Arial"/>
              </w:rPr>
              <w:t>Dentistry</w:t>
            </w:r>
          </w:p>
        </w:tc>
        <w:tc>
          <w:tcPr>
            <w:tcW w:w="1657" w:type="dxa"/>
            <w:noWrap/>
            <w:hideMark/>
          </w:tcPr>
          <w:p w14:paraId="37094AB8" w14:textId="3D90A087" w:rsidR="00A001EA" w:rsidRPr="00A001EA" w:rsidRDefault="00A001EA" w:rsidP="00A001EA">
            <w:pPr>
              <w:spacing w:line="276" w:lineRule="auto"/>
              <w:jc w:val="right"/>
              <w:rPr>
                <w:rFonts w:ascii="Arial" w:hAnsi="Arial" w:cs="Arial"/>
              </w:rPr>
            </w:pPr>
            <w:r w:rsidRPr="00A001EA">
              <w:rPr>
                <w:rFonts w:ascii="Arial" w:hAnsi="Arial" w:cs="Arial"/>
              </w:rPr>
              <w:t>0.0293</w:t>
            </w:r>
          </w:p>
        </w:tc>
        <w:tc>
          <w:tcPr>
            <w:tcW w:w="1434" w:type="dxa"/>
            <w:noWrap/>
            <w:hideMark/>
          </w:tcPr>
          <w:p w14:paraId="7A844936" w14:textId="5C964B3D" w:rsidR="00A001EA" w:rsidRPr="00A001EA" w:rsidRDefault="00A001EA" w:rsidP="00A001EA">
            <w:pPr>
              <w:spacing w:line="276" w:lineRule="auto"/>
              <w:jc w:val="right"/>
              <w:rPr>
                <w:rFonts w:ascii="Arial" w:hAnsi="Arial" w:cs="Arial"/>
              </w:rPr>
            </w:pPr>
            <w:r w:rsidRPr="00A001EA">
              <w:rPr>
                <w:rFonts w:ascii="Arial" w:hAnsi="Arial" w:cs="Arial"/>
              </w:rPr>
              <w:t>0.0281</w:t>
            </w:r>
          </w:p>
        </w:tc>
        <w:tc>
          <w:tcPr>
            <w:tcW w:w="1374" w:type="dxa"/>
            <w:noWrap/>
            <w:hideMark/>
          </w:tcPr>
          <w:p w14:paraId="3FF98AB0" w14:textId="51888165" w:rsidR="00A001EA" w:rsidRPr="00A001EA" w:rsidRDefault="00A001EA" w:rsidP="00A001EA">
            <w:pPr>
              <w:spacing w:line="276" w:lineRule="auto"/>
              <w:jc w:val="right"/>
              <w:rPr>
                <w:rFonts w:ascii="Arial" w:hAnsi="Arial" w:cs="Arial"/>
              </w:rPr>
            </w:pPr>
            <w:r w:rsidRPr="00A001EA">
              <w:rPr>
                <w:rFonts w:ascii="Arial" w:hAnsi="Arial" w:cs="Arial"/>
              </w:rPr>
              <w:t>0.0278</w:t>
            </w:r>
          </w:p>
        </w:tc>
        <w:tc>
          <w:tcPr>
            <w:tcW w:w="1374" w:type="dxa"/>
          </w:tcPr>
          <w:p w14:paraId="634A5555" w14:textId="296B220F" w:rsidR="00A001EA" w:rsidRPr="00A001EA" w:rsidRDefault="00A001EA" w:rsidP="00A001EA">
            <w:pPr>
              <w:spacing w:line="276" w:lineRule="auto"/>
              <w:jc w:val="right"/>
              <w:rPr>
                <w:rFonts w:ascii="Arial" w:hAnsi="Arial" w:cs="Arial"/>
              </w:rPr>
            </w:pPr>
            <w:r w:rsidRPr="00A001EA">
              <w:rPr>
                <w:rFonts w:ascii="Arial" w:hAnsi="Arial" w:cs="Arial"/>
              </w:rPr>
              <w:t>0.0289</w:t>
            </w:r>
          </w:p>
        </w:tc>
      </w:tr>
    </w:tbl>
    <w:p w14:paraId="4D28CDB8" w14:textId="77777777" w:rsidR="00A001EA" w:rsidRDefault="00A001EA" w:rsidP="00126EB2">
      <w:pPr>
        <w:pStyle w:val="ListParagraph"/>
        <w:spacing w:after="0" w:line="276" w:lineRule="auto"/>
        <w:ind w:left="360"/>
        <w:jc w:val="center"/>
        <w:rPr>
          <w:rFonts w:ascii="Arial" w:hAnsi="Arial" w:cs="Arial"/>
          <w:sz w:val="24"/>
          <w:u w:val="single"/>
        </w:rPr>
      </w:pPr>
    </w:p>
    <w:p w14:paraId="684A7C8D" w14:textId="02E49404" w:rsidR="00126EB2" w:rsidRPr="00126EB2" w:rsidRDefault="00126EB2" w:rsidP="00126EB2">
      <w:pPr>
        <w:pStyle w:val="ListParagraph"/>
        <w:spacing w:after="0" w:line="276" w:lineRule="auto"/>
        <w:ind w:left="360"/>
        <w:jc w:val="center"/>
        <w:rPr>
          <w:rFonts w:ascii="Arial" w:hAnsi="Arial" w:cs="Arial"/>
          <w:sz w:val="24"/>
        </w:rPr>
      </w:pPr>
      <w:r w:rsidRPr="00126EB2">
        <w:rPr>
          <w:rFonts w:ascii="Arial" w:hAnsi="Arial" w:cs="Arial"/>
          <w:sz w:val="24"/>
          <w:u w:val="single"/>
        </w:rPr>
        <w:t xml:space="preserve">Table </w:t>
      </w:r>
      <w:r>
        <w:rPr>
          <w:rFonts w:ascii="Arial" w:hAnsi="Arial" w:cs="Arial"/>
          <w:sz w:val="24"/>
          <w:u w:val="single"/>
        </w:rPr>
        <w:t>2</w:t>
      </w:r>
      <w:r w:rsidR="00A001EA">
        <w:rPr>
          <w:rFonts w:ascii="Arial" w:hAnsi="Arial" w:cs="Arial"/>
          <w:sz w:val="24"/>
          <w:u w:val="single"/>
        </w:rPr>
        <w:t>3</w:t>
      </w:r>
      <w:r w:rsidRPr="00126EB2">
        <w:rPr>
          <w:rFonts w:ascii="Arial" w:hAnsi="Arial" w:cs="Arial"/>
          <w:sz w:val="24"/>
          <w:u w:val="single"/>
        </w:rPr>
        <w:t xml:space="preserve">: </w:t>
      </w:r>
      <w:r>
        <w:rPr>
          <w:rFonts w:ascii="Arial" w:hAnsi="Arial" w:cs="Arial"/>
          <w:sz w:val="24"/>
          <w:u w:val="single"/>
        </w:rPr>
        <w:t xml:space="preserve">NHS inflation </w:t>
      </w:r>
    </w:p>
    <w:tbl>
      <w:tblPr>
        <w:tblStyle w:val="TableGrid"/>
        <w:tblW w:w="0" w:type="auto"/>
        <w:jc w:val="center"/>
        <w:tblLook w:val="04A0" w:firstRow="1" w:lastRow="0" w:firstColumn="1" w:lastColumn="0" w:noHBand="0" w:noVBand="1"/>
      </w:tblPr>
      <w:tblGrid>
        <w:gridCol w:w="2405"/>
        <w:gridCol w:w="1460"/>
        <w:gridCol w:w="1429"/>
        <w:gridCol w:w="1369"/>
        <w:gridCol w:w="1369"/>
      </w:tblGrid>
      <w:tr w:rsidR="00C96275" w:rsidRPr="00BD6196" w14:paraId="0176CA00" w14:textId="361B06F9" w:rsidTr="0050412C">
        <w:trPr>
          <w:trHeight w:val="290"/>
          <w:jc w:val="center"/>
        </w:trPr>
        <w:tc>
          <w:tcPr>
            <w:tcW w:w="2405" w:type="dxa"/>
            <w:noWrap/>
            <w:hideMark/>
          </w:tcPr>
          <w:p w14:paraId="71F8F5BE" w14:textId="5E3D0A92" w:rsidR="00C96275" w:rsidRPr="00BD6196" w:rsidRDefault="00C96275" w:rsidP="00BD6196">
            <w:pPr>
              <w:spacing w:line="276" w:lineRule="auto"/>
              <w:jc w:val="right"/>
              <w:rPr>
                <w:rFonts w:ascii="Arial" w:hAnsi="Arial" w:cs="Arial"/>
                <w:b/>
                <w:bCs/>
              </w:rPr>
            </w:pPr>
          </w:p>
        </w:tc>
        <w:tc>
          <w:tcPr>
            <w:tcW w:w="1460" w:type="dxa"/>
            <w:hideMark/>
          </w:tcPr>
          <w:p w14:paraId="76F85F79"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15/16</w:t>
            </w:r>
          </w:p>
        </w:tc>
        <w:tc>
          <w:tcPr>
            <w:tcW w:w="1429" w:type="dxa"/>
            <w:hideMark/>
          </w:tcPr>
          <w:p w14:paraId="3173A310"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16/17</w:t>
            </w:r>
          </w:p>
        </w:tc>
        <w:tc>
          <w:tcPr>
            <w:tcW w:w="1369" w:type="dxa"/>
            <w:hideMark/>
          </w:tcPr>
          <w:p w14:paraId="3C436B43" w14:textId="77777777" w:rsidR="00C96275" w:rsidRPr="00BD6196" w:rsidRDefault="00C96275" w:rsidP="00BD6196">
            <w:pPr>
              <w:spacing w:line="276" w:lineRule="auto"/>
              <w:jc w:val="right"/>
              <w:rPr>
                <w:rFonts w:ascii="Arial" w:hAnsi="Arial" w:cs="Arial"/>
                <w:b/>
                <w:bCs/>
              </w:rPr>
            </w:pPr>
            <w:r w:rsidRPr="00BD6196">
              <w:rPr>
                <w:rFonts w:ascii="Arial" w:hAnsi="Arial" w:cs="Arial"/>
                <w:b/>
                <w:bCs/>
              </w:rPr>
              <w:t>17/18</w:t>
            </w:r>
          </w:p>
        </w:tc>
        <w:tc>
          <w:tcPr>
            <w:tcW w:w="1369" w:type="dxa"/>
          </w:tcPr>
          <w:p w14:paraId="45E75C44" w14:textId="591A3D1E" w:rsidR="00C96275" w:rsidRPr="00BD6196" w:rsidRDefault="00A001EA" w:rsidP="00BD6196">
            <w:pPr>
              <w:spacing w:line="276" w:lineRule="auto"/>
              <w:jc w:val="right"/>
              <w:rPr>
                <w:rFonts w:ascii="Arial" w:hAnsi="Arial" w:cs="Arial"/>
                <w:b/>
                <w:bCs/>
              </w:rPr>
            </w:pPr>
            <w:r>
              <w:rPr>
                <w:rFonts w:ascii="Arial" w:hAnsi="Arial" w:cs="Arial"/>
                <w:b/>
                <w:bCs/>
              </w:rPr>
              <w:t>18/19</w:t>
            </w:r>
          </w:p>
        </w:tc>
      </w:tr>
      <w:tr w:rsidR="00A001EA" w:rsidRPr="00BD6196" w14:paraId="117B2FD3" w14:textId="57CB866D" w:rsidTr="0050412C">
        <w:trPr>
          <w:trHeight w:val="290"/>
          <w:jc w:val="center"/>
        </w:trPr>
        <w:tc>
          <w:tcPr>
            <w:tcW w:w="2405" w:type="dxa"/>
            <w:noWrap/>
            <w:hideMark/>
          </w:tcPr>
          <w:p w14:paraId="6805FF99" w14:textId="64276341" w:rsidR="00A001EA" w:rsidRPr="00BD6196" w:rsidRDefault="00A001EA" w:rsidP="00A001EA">
            <w:pPr>
              <w:spacing w:line="276" w:lineRule="auto"/>
              <w:rPr>
                <w:rFonts w:ascii="Arial" w:hAnsi="Arial" w:cs="Arial"/>
                <w:b/>
                <w:bCs/>
              </w:rPr>
            </w:pPr>
            <w:r w:rsidRPr="00BD6196">
              <w:rPr>
                <w:rFonts w:ascii="Arial" w:hAnsi="Arial" w:cs="Arial"/>
                <w:b/>
                <w:bCs/>
              </w:rPr>
              <w:t xml:space="preserve">Total </w:t>
            </w:r>
            <w:r>
              <w:rPr>
                <w:rFonts w:ascii="Arial" w:hAnsi="Arial" w:cs="Arial"/>
                <w:b/>
                <w:bCs/>
              </w:rPr>
              <w:t>h</w:t>
            </w:r>
            <w:r w:rsidRPr="00BD6196">
              <w:rPr>
                <w:rFonts w:ascii="Arial" w:hAnsi="Arial" w:cs="Arial"/>
                <w:b/>
                <w:bCs/>
              </w:rPr>
              <w:t>ealth</w:t>
            </w:r>
            <w:r>
              <w:rPr>
                <w:rFonts w:ascii="Arial" w:hAnsi="Arial" w:cs="Arial"/>
                <w:b/>
                <w:bCs/>
              </w:rPr>
              <w:t xml:space="preserve"> inflation</w:t>
            </w:r>
          </w:p>
        </w:tc>
        <w:tc>
          <w:tcPr>
            <w:tcW w:w="1460" w:type="dxa"/>
            <w:noWrap/>
            <w:hideMark/>
          </w:tcPr>
          <w:p w14:paraId="492B8DF0" w14:textId="0B8FA57C" w:rsidR="00A001EA" w:rsidRPr="00A001EA" w:rsidRDefault="00A001EA" w:rsidP="00A001EA">
            <w:pPr>
              <w:spacing w:line="276" w:lineRule="auto"/>
              <w:jc w:val="right"/>
              <w:rPr>
                <w:rFonts w:ascii="Arial" w:hAnsi="Arial" w:cs="Arial"/>
                <w:b/>
                <w:bCs/>
              </w:rPr>
            </w:pPr>
            <w:r w:rsidRPr="00A001EA">
              <w:rPr>
                <w:rFonts w:ascii="Arial" w:hAnsi="Arial" w:cs="Arial"/>
              </w:rPr>
              <w:t>0.31%</w:t>
            </w:r>
          </w:p>
        </w:tc>
        <w:tc>
          <w:tcPr>
            <w:tcW w:w="1429" w:type="dxa"/>
            <w:noWrap/>
            <w:hideMark/>
          </w:tcPr>
          <w:p w14:paraId="26F1059C" w14:textId="5457ABE8" w:rsidR="00A001EA" w:rsidRPr="00A001EA" w:rsidRDefault="00A001EA" w:rsidP="00A001EA">
            <w:pPr>
              <w:spacing w:line="276" w:lineRule="auto"/>
              <w:jc w:val="right"/>
              <w:rPr>
                <w:rFonts w:ascii="Arial" w:hAnsi="Arial" w:cs="Arial"/>
                <w:b/>
                <w:bCs/>
              </w:rPr>
            </w:pPr>
            <w:r w:rsidRPr="00A001EA">
              <w:rPr>
                <w:rFonts w:ascii="Arial" w:hAnsi="Arial" w:cs="Arial"/>
              </w:rPr>
              <w:t>1.23%</w:t>
            </w:r>
          </w:p>
        </w:tc>
        <w:tc>
          <w:tcPr>
            <w:tcW w:w="1369" w:type="dxa"/>
            <w:noWrap/>
            <w:hideMark/>
          </w:tcPr>
          <w:p w14:paraId="0770E7D9" w14:textId="1264F144" w:rsidR="00A001EA" w:rsidRPr="00A001EA" w:rsidRDefault="00A001EA" w:rsidP="00A001EA">
            <w:pPr>
              <w:spacing w:line="276" w:lineRule="auto"/>
              <w:jc w:val="right"/>
              <w:rPr>
                <w:rFonts w:ascii="Arial" w:hAnsi="Arial" w:cs="Arial"/>
                <w:b/>
                <w:bCs/>
              </w:rPr>
            </w:pPr>
            <w:r w:rsidRPr="00A001EA">
              <w:rPr>
                <w:rFonts w:ascii="Arial" w:hAnsi="Arial" w:cs="Arial"/>
              </w:rPr>
              <w:t>0.94%</w:t>
            </w:r>
          </w:p>
        </w:tc>
        <w:tc>
          <w:tcPr>
            <w:tcW w:w="1369" w:type="dxa"/>
          </w:tcPr>
          <w:p w14:paraId="35F0E8C0" w14:textId="45887FDD" w:rsidR="00A001EA" w:rsidRPr="00A001EA" w:rsidRDefault="00A001EA" w:rsidP="00A001EA">
            <w:pPr>
              <w:spacing w:line="276" w:lineRule="auto"/>
              <w:jc w:val="right"/>
              <w:rPr>
                <w:rFonts w:ascii="Arial" w:hAnsi="Arial" w:cs="Arial"/>
              </w:rPr>
            </w:pPr>
            <w:r w:rsidRPr="00A001EA">
              <w:rPr>
                <w:rFonts w:ascii="Arial" w:hAnsi="Arial" w:cs="Arial"/>
              </w:rPr>
              <w:t>2.30%</w:t>
            </w:r>
          </w:p>
        </w:tc>
      </w:tr>
    </w:tbl>
    <w:p w14:paraId="5C43BEF1" w14:textId="4017B9D6" w:rsidR="00C72A23" w:rsidRDefault="00C72A23" w:rsidP="00BD6196">
      <w:pPr>
        <w:spacing w:line="276" w:lineRule="auto"/>
        <w:rPr>
          <w:rFonts w:ascii="Arial" w:hAnsi="Arial" w:cs="Arial"/>
          <w:sz w:val="24"/>
        </w:rPr>
      </w:pPr>
    </w:p>
    <w:p w14:paraId="69412FCA" w14:textId="58E5CF95" w:rsidR="00A001EA" w:rsidRDefault="00A001EA" w:rsidP="00BD6196">
      <w:pPr>
        <w:spacing w:line="276" w:lineRule="auto"/>
        <w:rPr>
          <w:rFonts w:ascii="Arial" w:hAnsi="Arial" w:cs="Arial"/>
          <w:sz w:val="24"/>
        </w:rPr>
      </w:pPr>
    </w:p>
    <w:p w14:paraId="03596F5C" w14:textId="77777777" w:rsidR="00655F9A" w:rsidRDefault="00655F9A" w:rsidP="00BD6196">
      <w:pPr>
        <w:spacing w:line="276" w:lineRule="auto"/>
        <w:rPr>
          <w:rFonts w:ascii="Arial" w:hAnsi="Arial" w:cs="Arial"/>
          <w:sz w:val="24"/>
        </w:rPr>
      </w:pPr>
    </w:p>
    <w:p w14:paraId="39061AAB" w14:textId="6DE1AFF3" w:rsidR="00A001EA" w:rsidRDefault="00A001EA" w:rsidP="00BD6196">
      <w:pPr>
        <w:spacing w:line="276" w:lineRule="auto"/>
        <w:rPr>
          <w:rFonts w:ascii="Arial" w:hAnsi="Arial" w:cs="Arial"/>
          <w:sz w:val="24"/>
        </w:rPr>
      </w:pPr>
    </w:p>
    <w:p w14:paraId="57BAF7EA" w14:textId="6F0A4CB1" w:rsidR="00412CA8" w:rsidRPr="00126EB2" w:rsidRDefault="004A33E4" w:rsidP="00BD6196">
      <w:pPr>
        <w:spacing w:line="276" w:lineRule="auto"/>
        <w:rPr>
          <w:rFonts w:ascii="Arial" w:hAnsi="Arial" w:cs="Arial"/>
          <w:b/>
          <w:sz w:val="28"/>
        </w:rPr>
      </w:pPr>
      <w:r w:rsidRPr="00126EB2">
        <w:rPr>
          <w:rFonts w:ascii="Arial" w:hAnsi="Arial" w:cs="Arial"/>
          <w:b/>
          <w:sz w:val="28"/>
        </w:rPr>
        <w:lastRenderedPageBreak/>
        <w:t xml:space="preserve">Comparability with HCHS </w:t>
      </w:r>
    </w:p>
    <w:p w14:paraId="4EA2E309" w14:textId="3E7F0887" w:rsidR="00412CA8" w:rsidRPr="00126EB2" w:rsidRDefault="004A33E4" w:rsidP="00BD6196">
      <w:pPr>
        <w:pStyle w:val="ListParagraph"/>
        <w:numPr>
          <w:ilvl w:val="0"/>
          <w:numId w:val="6"/>
        </w:numPr>
        <w:spacing w:line="276" w:lineRule="auto"/>
        <w:rPr>
          <w:rFonts w:ascii="Arial" w:hAnsi="Arial" w:cs="Arial"/>
          <w:b/>
          <w:sz w:val="28"/>
        </w:rPr>
      </w:pPr>
      <w:r w:rsidRPr="00BD6196">
        <w:rPr>
          <w:rFonts w:ascii="Arial" w:hAnsi="Arial" w:cs="Arial"/>
          <w:sz w:val="24"/>
        </w:rPr>
        <w:t xml:space="preserve">The following illustrates how the </w:t>
      </w:r>
      <w:r w:rsidR="000D7A7E" w:rsidRPr="00BD6196">
        <w:rPr>
          <w:rFonts w:ascii="Arial" w:hAnsi="Arial" w:cs="Arial"/>
          <w:sz w:val="24"/>
        </w:rPr>
        <w:t xml:space="preserve">new </w:t>
      </w:r>
      <w:r w:rsidR="00D633E8">
        <w:rPr>
          <w:rFonts w:ascii="Arial" w:hAnsi="Arial" w:cs="Arial"/>
          <w:sz w:val="24"/>
        </w:rPr>
        <w:t>NHS</w:t>
      </w:r>
      <w:r w:rsidR="009161BA">
        <w:rPr>
          <w:rFonts w:ascii="Arial" w:hAnsi="Arial" w:cs="Arial"/>
          <w:sz w:val="24"/>
        </w:rPr>
        <w:t>CII</w:t>
      </w:r>
      <w:r w:rsidR="000D7A7E" w:rsidRPr="00BD6196">
        <w:rPr>
          <w:rFonts w:ascii="Arial" w:hAnsi="Arial" w:cs="Arial"/>
          <w:sz w:val="24"/>
        </w:rPr>
        <w:t xml:space="preserve"> compares against the discontinued HCHS index. </w:t>
      </w:r>
    </w:p>
    <w:p w14:paraId="1705F230" w14:textId="77777777" w:rsidR="007F1F54" w:rsidRDefault="007F1F54" w:rsidP="00126EB2">
      <w:pPr>
        <w:pStyle w:val="ListParagraph"/>
        <w:spacing w:line="276" w:lineRule="auto"/>
        <w:ind w:left="360"/>
        <w:rPr>
          <w:rFonts w:ascii="Arial" w:hAnsi="Arial" w:cs="Arial"/>
          <w:b/>
          <w:sz w:val="28"/>
        </w:rPr>
      </w:pPr>
    </w:p>
    <w:p w14:paraId="46315802" w14:textId="5A79929A" w:rsidR="00126EB2" w:rsidRPr="00126EB2" w:rsidRDefault="00126EB2" w:rsidP="00126EB2">
      <w:pPr>
        <w:pStyle w:val="ListParagraph"/>
        <w:spacing w:after="0" w:line="276" w:lineRule="auto"/>
        <w:ind w:left="360"/>
        <w:jc w:val="center"/>
        <w:rPr>
          <w:rFonts w:ascii="Arial" w:hAnsi="Arial" w:cs="Arial"/>
          <w:sz w:val="24"/>
        </w:rPr>
      </w:pPr>
      <w:r w:rsidRPr="00126EB2">
        <w:rPr>
          <w:rFonts w:ascii="Arial" w:hAnsi="Arial" w:cs="Arial"/>
          <w:sz w:val="24"/>
          <w:u w:val="single"/>
        </w:rPr>
        <w:t xml:space="preserve">Table </w:t>
      </w:r>
      <w:r>
        <w:rPr>
          <w:rFonts w:ascii="Arial" w:hAnsi="Arial" w:cs="Arial"/>
          <w:sz w:val="24"/>
          <w:u w:val="single"/>
        </w:rPr>
        <w:t>2</w:t>
      </w:r>
      <w:r w:rsidR="00A001EA">
        <w:rPr>
          <w:rFonts w:ascii="Arial" w:hAnsi="Arial" w:cs="Arial"/>
          <w:sz w:val="24"/>
          <w:u w:val="single"/>
        </w:rPr>
        <w:t>4</w:t>
      </w:r>
      <w:r w:rsidRPr="00126EB2">
        <w:rPr>
          <w:rFonts w:ascii="Arial" w:hAnsi="Arial" w:cs="Arial"/>
          <w:sz w:val="24"/>
          <w:u w:val="single"/>
        </w:rPr>
        <w:t xml:space="preserve">: </w:t>
      </w:r>
      <w:r>
        <w:rPr>
          <w:rFonts w:ascii="Arial" w:hAnsi="Arial" w:cs="Arial"/>
          <w:sz w:val="24"/>
          <w:u w:val="single"/>
        </w:rPr>
        <w:t xml:space="preserve">HCHS index versus </w:t>
      </w:r>
      <w:r w:rsidR="00D633E8">
        <w:rPr>
          <w:rFonts w:ascii="Arial" w:hAnsi="Arial" w:cs="Arial"/>
          <w:sz w:val="24"/>
          <w:u w:val="single"/>
        </w:rPr>
        <w:t>NHS</w:t>
      </w:r>
      <w:r w:rsidR="009161BA">
        <w:rPr>
          <w:rFonts w:ascii="Arial" w:hAnsi="Arial" w:cs="Arial"/>
          <w:sz w:val="24"/>
          <w:u w:val="single"/>
        </w:rPr>
        <w:t>CII</w:t>
      </w:r>
      <w:r>
        <w:rPr>
          <w:rFonts w:ascii="Arial" w:hAnsi="Arial" w:cs="Arial"/>
          <w:sz w:val="24"/>
          <w:u w:val="single"/>
        </w:rPr>
        <w:t xml:space="preserve"> </w:t>
      </w:r>
    </w:p>
    <w:tbl>
      <w:tblPr>
        <w:tblStyle w:val="TableGrid"/>
        <w:tblW w:w="0" w:type="auto"/>
        <w:jc w:val="center"/>
        <w:tblLook w:val="04A0" w:firstRow="1" w:lastRow="0" w:firstColumn="1" w:lastColumn="0" w:noHBand="0" w:noVBand="1"/>
      </w:tblPr>
      <w:tblGrid>
        <w:gridCol w:w="3539"/>
        <w:gridCol w:w="1257"/>
        <w:gridCol w:w="1295"/>
        <w:gridCol w:w="1257"/>
        <w:gridCol w:w="1257"/>
      </w:tblGrid>
      <w:tr w:rsidR="009269C2" w:rsidRPr="00BD6196" w14:paraId="32C094D4" w14:textId="05A190D4" w:rsidTr="0050412C">
        <w:trPr>
          <w:trHeight w:val="267"/>
          <w:jc w:val="center"/>
        </w:trPr>
        <w:tc>
          <w:tcPr>
            <w:tcW w:w="3539" w:type="dxa"/>
            <w:noWrap/>
            <w:hideMark/>
          </w:tcPr>
          <w:p w14:paraId="5EC05778"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 </w:t>
            </w:r>
          </w:p>
        </w:tc>
        <w:tc>
          <w:tcPr>
            <w:tcW w:w="1257" w:type="dxa"/>
            <w:noWrap/>
            <w:hideMark/>
          </w:tcPr>
          <w:p w14:paraId="13E887BD" w14:textId="77777777" w:rsidR="009269C2" w:rsidRPr="00BD6196" w:rsidRDefault="009269C2" w:rsidP="00BD6196">
            <w:pPr>
              <w:pStyle w:val="ListParagraph"/>
              <w:spacing w:line="276" w:lineRule="auto"/>
              <w:ind w:left="360"/>
              <w:rPr>
                <w:rFonts w:ascii="Arial" w:hAnsi="Arial" w:cs="Arial"/>
                <w:b/>
                <w:sz w:val="24"/>
              </w:rPr>
            </w:pPr>
            <w:r w:rsidRPr="00BD6196">
              <w:rPr>
                <w:rFonts w:ascii="Arial" w:hAnsi="Arial" w:cs="Arial"/>
                <w:b/>
                <w:sz w:val="24"/>
              </w:rPr>
              <w:t>15/16</w:t>
            </w:r>
          </w:p>
        </w:tc>
        <w:tc>
          <w:tcPr>
            <w:tcW w:w="1295" w:type="dxa"/>
            <w:noWrap/>
            <w:hideMark/>
          </w:tcPr>
          <w:p w14:paraId="5AAC1BC6" w14:textId="77777777" w:rsidR="009269C2" w:rsidRPr="00BD6196" w:rsidRDefault="009269C2" w:rsidP="00BD6196">
            <w:pPr>
              <w:pStyle w:val="ListParagraph"/>
              <w:spacing w:line="276" w:lineRule="auto"/>
              <w:ind w:left="360"/>
              <w:rPr>
                <w:rFonts w:ascii="Arial" w:hAnsi="Arial" w:cs="Arial"/>
                <w:b/>
                <w:sz w:val="24"/>
              </w:rPr>
            </w:pPr>
            <w:r w:rsidRPr="00BD6196">
              <w:rPr>
                <w:rFonts w:ascii="Arial" w:hAnsi="Arial" w:cs="Arial"/>
                <w:b/>
                <w:sz w:val="24"/>
              </w:rPr>
              <w:t>16/17</w:t>
            </w:r>
          </w:p>
        </w:tc>
        <w:tc>
          <w:tcPr>
            <w:tcW w:w="1257" w:type="dxa"/>
            <w:noWrap/>
            <w:hideMark/>
          </w:tcPr>
          <w:p w14:paraId="17B26B06" w14:textId="77777777" w:rsidR="009269C2" w:rsidRPr="00BD6196" w:rsidRDefault="009269C2" w:rsidP="00BD6196">
            <w:pPr>
              <w:pStyle w:val="ListParagraph"/>
              <w:spacing w:line="276" w:lineRule="auto"/>
              <w:ind w:left="360"/>
              <w:rPr>
                <w:rFonts w:ascii="Arial" w:hAnsi="Arial" w:cs="Arial"/>
                <w:b/>
                <w:sz w:val="24"/>
              </w:rPr>
            </w:pPr>
            <w:r w:rsidRPr="00BD6196">
              <w:rPr>
                <w:rFonts w:ascii="Arial" w:hAnsi="Arial" w:cs="Arial"/>
                <w:b/>
                <w:sz w:val="24"/>
              </w:rPr>
              <w:t>17/18</w:t>
            </w:r>
          </w:p>
        </w:tc>
        <w:tc>
          <w:tcPr>
            <w:tcW w:w="1257" w:type="dxa"/>
          </w:tcPr>
          <w:p w14:paraId="223DC6B2" w14:textId="48919ECF" w:rsidR="009269C2" w:rsidRPr="00BD6196" w:rsidRDefault="009269C2" w:rsidP="00BD6196">
            <w:pPr>
              <w:pStyle w:val="ListParagraph"/>
              <w:spacing w:line="276" w:lineRule="auto"/>
              <w:ind w:left="360"/>
              <w:rPr>
                <w:rFonts w:ascii="Arial" w:hAnsi="Arial" w:cs="Arial"/>
                <w:b/>
                <w:sz w:val="24"/>
              </w:rPr>
            </w:pPr>
            <w:r>
              <w:rPr>
                <w:rFonts w:ascii="Arial" w:hAnsi="Arial" w:cs="Arial"/>
                <w:b/>
                <w:sz w:val="24"/>
              </w:rPr>
              <w:t>18/19</w:t>
            </w:r>
          </w:p>
        </w:tc>
      </w:tr>
      <w:tr w:rsidR="009269C2" w:rsidRPr="00BD6196" w14:paraId="32894D5C" w14:textId="36FC5E8D" w:rsidTr="0050412C">
        <w:trPr>
          <w:trHeight w:val="267"/>
          <w:jc w:val="center"/>
        </w:trPr>
        <w:tc>
          <w:tcPr>
            <w:tcW w:w="3539" w:type="dxa"/>
            <w:noWrap/>
            <w:hideMark/>
          </w:tcPr>
          <w:p w14:paraId="211A6614" w14:textId="77777777" w:rsidR="009269C2" w:rsidRPr="00BD6196" w:rsidRDefault="009269C2" w:rsidP="00BD6196">
            <w:pPr>
              <w:spacing w:line="276" w:lineRule="auto"/>
              <w:rPr>
                <w:rFonts w:ascii="Arial" w:hAnsi="Arial" w:cs="Arial"/>
                <w:sz w:val="24"/>
              </w:rPr>
            </w:pPr>
            <w:r w:rsidRPr="00BD6196">
              <w:rPr>
                <w:rFonts w:ascii="Arial" w:hAnsi="Arial" w:cs="Arial"/>
                <w:sz w:val="24"/>
              </w:rPr>
              <w:t>HCHS overall (old)</w:t>
            </w:r>
          </w:p>
        </w:tc>
        <w:tc>
          <w:tcPr>
            <w:tcW w:w="1257" w:type="dxa"/>
            <w:noWrap/>
            <w:hideMark/>
          </w:tcPr>
          <w:p w14:paraId="0CCAD7AC"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1.32%</w:t>
            </w:r>
          </w:p>
        </w:tc>
        <w:tc>
          <w:tcPr>
            <w:tcW w:w="1295" w:type="dxa"/>
            <w:noWrap/>
            <w:hideMark/>
          </w:tcPr>
          <w:p w14:paraId="5CC0A31F"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2.07%</w:t>
            </w:r>
          </w:p>
        </w:tc>
        <w:tc>
          <w:tcPr>
            <w:tcW w:w="1257" w:type="dxa"/>
            <w:shd w:val="clear" w:color="auto" w:fill="AEAAAA" w:themeFill="background2" w:themeFillShade="BF"/>
            <w:noWrap/>
            <w:hideMark/>
          </w:tcPr>
          <w:p w14:paraId="653EBA98"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 </w:t>
            </w:r>
          </w:p>
        </w:tc>
        <w:tc>
          <w:tcPr>
            <w:tcW w:w="1257" w:type="dxa"/>
            <w:shd w:val="clear" w:color="auto" w:fill="AEAAAA" w:themeFill="background2" w:themeFillShade="BF"/>
          </w:tcPr>
          <w:p w14:paraId="0AC4106E" w14:textId="77777777" w:rsidR="009269C2" w:rsidRPr="00BD6196" w:rsidRDefault="009269C2" w:rsidP="00BD6196">
            <w:pPr>
              <w:pStyle w:val="ListParagraph"/>
              <w:spacing w:line="276" w:lineRule="auto"/>
              <w:ind w:left="360"/>
              <w:rPr>
                <w:rFonts w:ascii="Arial" w:hAnsi="Arial" w:cs="Arial"/>
                <w:sz w:val="24"/>
              </w:rPr>
            </w:pPr>
          </w:p>
        </w:tc>
      </w:tr>
      <w:tr w:rsidR="00D05833" w:rsidRPr="00BD6196" w14:paraId="22505984" w14:textId="1EB71132" w:rsidTr="0050412C">
        <w:trPr>
          <w:trHeight w:val="267"/>
          <w:jc w:val="center"/>
        </w:trPr>
        <w:tc>
          <w:tcPr>
            <w:tcW w:w="3539" w:type="dxa"/>
            <w:shd w:val="clear" w:color="auto" w:fill="DEEAF6" w:themeFill="accent5" w:themeFillTint="33"/>
            <w:noWrap/>
            <w:hideMark/>
          </w:tcPr>
          <w:p w14:paraId="50F3AB00" w14:textId="17255124" w:rsidR="00D05833" w:rsidRPr="00BD6196" w:rsidRDefault="00D05833" w:rsidP="00D05833">
            <w:pPr>
              <w:spacing w:line="276" w:lineRule="auto"/>
              <w:rPr>
                <w:rFonts w:ascii="Arial" w:hAnsi="Arial" w:cs="Arial"/>
                <w:sz w:val="24"/>
              </w:rPr>
            </w:pPr>
            <w:r>
              <w:rPr>
                <w:rFonts w:ascii="Arial" w:hAnsi="Arial" w:cs="Arial"/>
                <w:sz w:val="24"/>
              </w:rPr>
              <w:t>NHS O</w:t>
            </w:r>
            <w:r w:rsidRPr="00BD6196">
              <w:rPr>
                <w:rFonts w:ascii="Arial" w:hAnsi="Arial" w:cs="Arial"/>
                <w:sz w:val="24"/>
              </w:rPr>
              <w:t>verall</w:t>
            </w:r>
            <w:r>
              <w:rPr>
                <w:rFonts w:ascii="Arial" w:hAnsi="Arial" w:cs="Arial"/>
                <w:sz w:val="24"/>
              </w:rPr>
              <w:t xml:space="preserve"> P</w:t>
            </w:r>
            <w:r w:rsidRPr="00BD6196">
              <w:rPr>
                <w:rFonts w:ascii="Arial" w:hAnsi="Arial" w:cs="Arial"/>
                <w:sz w:val="24"/>
              </w:rPr>
              <w:t xml:space="preserve">rovider </w:t>
            </w:r>
          </w:p>
        </w:tc>
        <w:tc>
          <w:tcPr>
            <w:tcW w:w="1257" w:type="dxa"/>
            <w:shd w:val="clear" w:color="auto" w:fill="DEEAF6" w:themeFill="accent5" w:themeFillTint="33"/>
            <w:noWrap/>
            <w:hideMark/>
          </w:tcPr>
          <w:p w14:paraId="2EF3F685" w14:textId="02982B3C"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0.35%</w:t>
            </w:r>
          </w:p>
        </w:tc>
        <w:tc>
          <w:tcPr>
            <w:tcW w:w="1295" w:type="dxa"/>
            <w:shd w:val="clear" w:color="auto" w:fill="DEEAF6" w:themeFill="accent5" w:themeFillTint="33"/>
            <w:noWrap/>
            <w:hideMark/>
          </w:tcPr>
          <w:p w14:paraId="604505C9" w14:textId="229F4647"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2.12%</w:t>
            </w:r>
          </w:p>
        </w:tc>
        <w:tc>
          <w:tcPr>
            <w:tcW w:w="1257" w:type="dxa"/>
            <w:shd w:val="clear" w:color="auto" w:fill="DEEAF6" w:themeFill="accent5" w:themeFillTint="33"/>
            <w:noWrap/>
            <w:hideMark/>
          </w:tcPr>
          <w:p w14:paraId="52FBD612" w14:textId="69011C31"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1.16%</w:t>
            </w:r>
          </w:p>
        </w:tc>
        <w:tc>
          <w:tcPr>
            <w:tcW w:w="1257" w:type="dxa"/>
            <w:shd w:val="clear" w:color="auto" w:fill="DEEAF6" w:themeFill="accent5" w:themeFillTint="33"/>
          </w:tcPr>
          <w:p w14:paraId="701B7EB5" w14:textId="6AA38520"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2.31%</w:t>
            </w:r>
          </w:p>
        </w:tc>
      </w:tr>
      <w:tr w:rsidR="009269C2" w:rsidRPr="00BD6196" w14:paraId="563821AB" w14:textId="69D8D3E5" w:rsidTr="0050412C">
        <w:trPr>
          <w:trHeight w:val="267"/>
          <w:jc w:val="center"/>
        </w:trPr>
        <w:tc>
          <w:tcPr>
            <w:tcW w:w="7348" w:type="dxa"/>
            <w:gridSpan w:val="4"/>
            <w:noWrap/>
            <w:hideMark/>
          </w:tcPr>
          <w:p w14:paraId="415ADF5F" w14:textId="7460EA63"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 </w:t>
            </w:r>
          </w:p>
        </w:tc>
        <w:tc>
          <w:tcPr>
            <w:tcW w:w="1257" w:type="dxa"/>
          </w:tcPr>
          <w:p w14:paraId="3E45F8FE" w14:textId="77777777" w:rsidR="009269C2" w:rsidRPr="00BD6196" w:rsidRDefault="009269C2" w:rsidP="00BD6196">
            <w:pPr>
              <w:pStyle w:val="ListParagraph"/>
              <w:spacing w:line="276" w:lineRule="auto"/>
              <w:ind w:left="360"/>
              <w:rPr>
                <w:rFonts w:ascii="Arial" w:hAnsi="Arial" w:cs="Arial"/>
                <w:sz w:val="24"/>
              </w:rPr>
            </w:pPr>
          </w:p>
        </w:tc>
      </w:tr>
      <w:tr w:rsidR="009269C2" w:rsidRPr="00BD6196" w14:paraId="5B6F67CF" w14:textId="1D6E0B55" w:rsidTr="0050412C">
        <w:trPr>
          <w:trHeight w:val="267"/>
          <w:jc w:val="center"/>
        </w:trPr>
        <w:tc>
          <w:tcPr>
            <w:tcW w:w="3539" w:type="dxa"/>
            <w:noWrap/>
            <w:hideMark/>
          </w:tcPr>
          <w:p w14:paraId="42707503" w14:textId="690DB05A" w:rsidR="009269C2" w:rsidRPr="00BD6196" w:rsidRDefault="009269C2" w:rsidP="00BD6196">
            <w:pPr>
              <w:spacing w:line="276" w:lineRule="auto"/>
              <w:rPr>
                <w:rFonts w:ascii="Arial" w:hAnsi="Arial" w:cs="Arial"/>
                <w:sz w:val="24"/>
              </w:rPr>
            </w:pPr>
            <w:r w:rsidRPr="00BD6196">
              <w:rPr>
                <w:rFonts w:ascii="Arial" w:hAnsi="Arial" w:cs="Arial"/>
                <w:sz w:val="24"/>
              </w:rPr>
              <w:t>HCHS PCI Pay (old)</w:t>
            </w:r>
          </w:p>
        </w:tc>
        <w:tc>
          <w:tcPr>
            <w:tcW w:w="1257" w:type="dxa"/>
            <w:noWrap/>
            <w:hideMark/>
          </w:tcPr>
          <w:p w14:paraId="6F45D066"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0.30%</w:t>
            </w:r>
          </w:p>
        </w:tc>
        <w:tc>
          <w:tcPr>
            <w:tcW w:w="1295" w:type="dxa"/>
            <w:noWrap/>
            <w:hideMark/>
          </w:tcPr>
          <w:p w14:paraId="6458D0DD"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1.00%</w:t>
            </w:r>
          </w:p>
        </w:tc>
        <w:tc>
          <w:tcPr>
            <w:tcW w:w="1257" w:type="dxa"/>
            <w:shd w:val="clear" w:color="auto" w:fill="AEAAAA" w:themeFill="background2" w:themeFillShade="BF"/>
            <w:noWrap/>
            <w:hideMark/>
          </w:tcPr>
          <w:p w14:paraId="3E519935"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 </w:t>
            </w:r>
          </w:p>
        </w:tc>
        <w:tc>
          <w:tcPr>
            <w:tcW w:w="1257" w:type="dxa"/>
            <w:shd w:val="clear" w:color="auto" w:fill="AEAAAA" w:themeFill="background2" w:themeFillShade="BF"/>
          </w:tcPr>
          <w:p w14:paraId="21B5744D" w14:textId="77777777" w:rsidR="009269C2" w:rsidRPr="00BD6196" w:rsidRDefault="009269C2" w:rsidP="00BD6196">
            <w:pPr>
              <w:pStyle w:val="ListParagraph"/>
              <w:spacing w:line="276" w:lineRule="auto"/>
              <w:ind w:left="360"/>
              <w:rPr>
                <w:rFonts w:ascii="Arial" w:hAnsi="Arial" w:cs="Arial"/>
                <w:sz w:val="24"/>
              </w:rPr>
            </w:pPr>
          </w:p>
        </w:tc>
      </w:tr>
      <w:tr w:rsidR="00D05833" w:rsidRPr="00BD6196" w14:paraId="577E7696" w14:textId="493B7F32" w:rsidTr="0050412C">
        <w:trPr>
          <w:trHeight w:val="267"/>
          <w:jc w:val="center"/>
        </w:trPr>
        <w:tc>
          <w:tcPr>
            <w:tcW w:w="3539" w:type="dxa"/>
            <w:shd w:val="clear" w:color="auto" w:fill="DEEAF6" w:themeFill="accent5" w:themeFillTint="33"/>
            <w:noWrap/>
            <w:hideMark/>
          </w:tcPr>
          <w:p w14:paraId="5BEE5D12" w14:textId="0DA6882E" w:rsidR="00D05833" w:rsidRPr="00BD6196" w:rsidRDefault="00D05833" w:rsidP="00D05833">
            <w:pPr>
              <w:spacing w:line="276" w:lineRule="auto"/>
              <w:rPr>
                <w:rFonts w:ascii="Arial" w:hAnsi="Arial" w:cs="Arial"/>
                <w:sz w:val="24"/>
              </w:rPr>
            </w:pPr>
            <w:r>
              <w:rPr>
                <w:rFonts w:ascii="Arial" w:hAnsi="Arial" w:cs="Arial"/>
                <w:sz w:val="24"/>
              </w:rPr>
              <w:t>NHS</w:t>
            </w:r>
            <w:r w:rsidRPr="00BD6196">
              <w:rPr>
                <w:rFonts w:ascii="Arial" w:hAnsi="Arial" w:cs="Arial"/>
                <w:sz w:val="24"/>
              </w:rPr>
              <w:t xml:space="preserve"> Provider pay</w:t>
            </w:r>
            <w:r>
              <w:rPr>
                <w:rFonts w:ascii="Arial" w:hAnsi="Arial" w:cs="Arial"/>
                <w:sz w:val="24"/>
              </w:rPr>
              <w:t xml:space="preserve"> </w:t>
            </w:r>
          </w:p>
        </w:tc>
        <w:tc>
          <w:tcPr>
            <w:tcW w:w="1257" w:type="dxa"/>
            <w:shd w:val="clear" w:color="auto" w:fill="DEEAF6" w:themeFill="accent5" w:themeFillTint="33"/>
            <w:noWrap/>
            <w:hideMark/>
          </w:tcPr>
          <w:p w14:paraId="62755274" w14:textId="2023ECF8"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0.30%</w:t>
            </w:r>
          </w:p>
        </w:tc>
        <w:tc>
          <w:tcPr>
            <w:tcW w:w="1295" w:type="dxa"/>
            <w:shd w:val="clear" w:color="auto" w:fill="DEEAF6" w:themeFill="accent5" w:themeFillTint="33"/>
            <w:noWrap/>
            <w:hideMark/>
          </w:tcPr>
          <w:p w14:paraId="49E920F4" w14:textId="3C9A5861"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2.10%</w:t>
            </w:r>
          </w:p>
        </w:tc>
        <w:tc>
          <w:tcPr>
            <w:tcW w:w="1257" w:type="dxa"/>
            <w:shd w:val="clear" w:color="auto" w:fill="DEEAF6" w:themeFill="accent5" w:themeFillTint="33"/>
            <w:noWrap/>
            <w:hideMark/>
          </w:tcPr>
          <w:p w14:paraId="0FA2114D" w14:textId="32F8F5AA"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1.22%</w:t>
            </w:r>
          </w:p>
        </w:tc>
        <w:tc>
          <w:tcPr>
            <w:tcW w:w="1257" w:type="dxa"/>
            <w:shd w:val="clear" w:color="auto" w:fill="DEEAF6" w:themeFill="accent5" w:themeFillTint="33"/>
          </w:tcPr>
          <w:p w14:paraId="0A8B771C" w14:textId="13F555F3"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2.24%</w:t>
            </w:r>
          </w:p>
        </w:tc>
      </w:tr>
      <w:tr w:rsidR="009269C2" w:rsidRPr="00BD6196" w14:paraId="11714C51" w14:textId="23652DC3" w:rsidTr="0050412C">
        <w:trPr>
          <w:trHeight w:val="267"/>
          <w:jc w:val="center"/>
        </w:trPr>
        <w:tc>
          <w:tcPr>
            <w:tcW w:w="7348" w:type="dxa"/>
            <w:gridSpan w:val="4"/>
            <w:noWrap/>
            <w:hideMark/>
          </w:tcPr>
          <w:p w14:paraId="6D05C55C" w14:textId="2CE22D71" w:rsidR="009269C2" w:rsidRPr="00BD6196" w:rsidRDefault="009269C2" w:rsidP="00BD6196">
            <w:pPr>
              <w:pStyle w:val="ListParagraph"/>
              <w:spacing w:line="276" w:lineRule="auto"/>
              <w:ind w:left="360"/>
              <w:rPr>
                <w:rFonts w:ascii="Arial" w:hAnsi="Arial" w:cs="Arial"/>
                <w:sz w:val="24"/>
              </w:rPr>
            </w:pPr>
          </w:p>
        </w:tc>
        <w:tc>
          <w:tcPr>
            <w:tcW w:w="1257" w:type="dxa"/>
          </w:tcPr>
          <w:p w14:paraId="7B995B57" w14:textId="77777777" w:rsidR="009269C2" w:rsidRPr="00BD6196" w:rsidRDefault="009269C2" w:rsidP="00BD6196">
            <w:pPr>
              <w:pStyle w:val="ListParagraph"/>
              <w:spacing w:line="276" w:lineRule="auto"/>
              <w:ind w:left="360"/>
              <w:rPr>
                <w:rFonts w:ascii="Arial" w:hAnsi="Arial" w:cs="Arial"/>
                <w:sz w:val="24"/>
              </w:rPr>
            </w:pPr>
          </w:p>
        </w:tc>
      </w:tr>
      <w:tr w:rsidR="009269C2" w:rsidRPr="00BD6196" w14:paraId="764E6FFF" w14:textId="45522013" w:rsidTr="0050412C">
        <w:trPr>
          <w:trHeight w:val="267"/>
          <w:jc w:val="center"/>
        </w:trPr>
        <w:tc>
          <w:tcPr>
            <w:tcW w:w="3539" w:type="dxa"/>
            <w:noWrap/>
            <w:hideMark/>
          </w:tcPr>
          <w:p w14:paraId="42897680" w14:textId="3A7AADE8" w:rsidR="009269C2" w:rsidRPr="00BD6196" w:rsidRDefault="009269C2" w:rsidP="00BD6196">
            <w:pPr>
              <w:spacing w:line="276" w:lineRule="auto"/>
              <w:rPr>
                <w:rFonts w:ascii="Arial" w:hAnsi="Arial" w:cs="Arial"/>
                <w:sz w:val="24"/>
              </w:rPr>
            </w:pPr>
            <w:r w:rsidRPr="00BD6196">
              <w:rPr>
                <w:rFonts w:ascii="Arial" w:hAnsi="Arial" w:cs="Arial"/>
                <w:sz w:val="24"/>
              </w:rPr>
              <w:t>HCHS HSCI Prices (old)</w:t>
            </w:r>
          </w:p>
        </w:tc>
        <w:tc>
          <w:tcPr>
            <w:tcW w:w="1257" w:type="dxa"/>
            <w:noWrap/>
            <w:hideMark/>
          </w:tcPr>
          <w:p w14:paraId="2E93D362"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2.70%</w:t>
            </w:r>
          </w:p>
        </w:tc>
        <w:tc>
          <w:tcPr>
            <w:tcW w:w="1295" w:type="dxa"/>
            <w:noWrap/>
            <w:hideMark/>
          </w:tcPr>
          <w:p w14:paraId="782129FE"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3.90%</w:t>
            </w:r>
          </w:p>
        </w:tc>
        <w:tc>
          <w:tcPr>
            <w:tcW w:w="1257" w:type="dxa"/>
            <w:shd w:val="clear" w:color="auto" w:fill="AEAAAA" w:themeFill="background2" w:themeFillShade="BF"/>
            <w:noWrap/>
            <w:hideMark/>
          </w:tcPr>
          <w:p w14:paraId="2B54FBD9" w14:textId="77777777" w:rsidR="009269C2" w:rsidRPr="00BD6196" w:rsidRDefault="009269C2" w:rsidP="00BD6196">
            <w:pPr>
              <w:pStyle w:val="ListParagraph"/>
              <w:spacing w:line="276" w:lineRule="auto"/>
              <w:ind w:left="360"/>
              <w:rPr>
                <w:rFonts w:ascii="Arial" w:hAnsi="Arial" w:cs="Arial"/>
                <w:sz w:val="24"/>
              </w:rPr>
            </w:pPr>
            <w:r w:rsidRPr="00BD6196">
              <w:rPr>
                <w:rFonts w:ascii="Arial" w:hAnsi="Arial" w:cs="Arial"/>
                <w:sz w:val="24"/>
              </w:rPr>
              <w:t> </w:t>
            </w:r>
          </w:p>
        </w:tc>
        <w:tc>
          <w:tcPr>
            <w:tcW w:w="1257" w:type="dxa"/>
            <w:shd w:val="clear" w:color="auto" w:fill="AEAAAA" w:themeFill="background2" w:themeFillShade="BF"/>
          </w:tcPr>
          <w:p w14:paraId="7AA56253" w14:textId="77777777" w:rsidR="009269C2" w:rsidRPr="00BD6196" w:rsidRDefault="009269C2" w:rsidP="00BD6196">
            <w:pPr>
              <w:pStyle w:val="ListParagraph"/>
              <w:spacing w:line="276" w:lineRule="auto"/>
              <w:ind w:left="360"/>
              <w:rPr>
                <w:rFonts w:ascii="Arial" w:hAnsi="Arial" w:cs="Arial"/>
                <w:sz w:val="24"/>
              </w:rPr>
            </w:pPr>
          </w:p>
        </w:tc>
      </w:tr>
      <w:tr w:rsidR="00D05833" w:rsidRPr="00BD6196" w14:paraId="13708EB2" w14:textId="35B9F9CC" w:rsidTr="0050412C">
        <w:trPr>
          <w:trHeight w:val="267"/>
          <w:jc w:val="center"/>
        </w:trPr>
        <w:tc>
          <w:tcPr>
            <w:tcW w:w="3539" w:type="dxa"/>
            <w:shd w:val="clear" w:color="auto" w:fill="DEEAF6" w:themeFill="accent5" w:themeFillTint="33"/>
            <w:noWrap/>
            <w:hideMark/>
          </w:tcPr>
          <w:p w14:paraId="3A2B845F" w14:textId="48C305BB" w:rsidR="00D05833" w:rsidRPr="00BD6196" w:rsidRDefault="00D05833" w:rsidP="00D05833">
            <w:pPr>
              <w:spacing w:line="276" w:lineRule="auto"/>
              <w:rPr>
                <w:rFonts w:ascii="Arial" w:hAnsi="Arial" w:cs="Arial"/>
                <w:sz w:val="24"/>
              </w:rPr>
            </w:pPr>
            <w:r>
              <w:rPr>
                <w:rFonts w:ascii="Arial" w:hAnsi="Arial" w:cs="Arial"/>
                <w:sz w:val="24"/>
              </w:rPr>
              <w:t>NHS</w:t>
            </w:r>
            <w:r w:rsidRPr="00BD6196">
              <w:rPr>
                <w:rFonts w:ascii="Arial" w:hAnsi="Arial" w:cs="Arial"/>
                <w:sz w:val="24"/>
              </w:rPr>
              <w:t xml:space="preserve"> Provider Non-Pay</w:t>
            </w:r>
            <w:r>
              <w:rPr>
                <w:rFonts w:ascii="Arial" w:hAnsi="Arial" w:cs="Arial"/>
                <w:sz w:val="24"/>
              </w:rPr>
              <w:t xml:space="preserve"> </w:t>
            </w:r>
          </w:p>
        </w:tc>
        <w:tc>
          <w:tcPr>
            <w:tcW w:w="1257" w:type="dxa"/>
            <w:shd w:val="clear" w:color="auto" w:fill="DEEAF6" w:themeFill="accent5" w:themeFillTint="33"/>
            <w:noWrap/>
            <w:hideMark/>
          </w:tcPr>
          <w:p w14:paraId="3281F85E" w14:textId="25275948"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0.45%</w:t>
            </w:r>
          </w:p>
        </w:tc>
        <w:tc>
          <w:tcPr>
            <w:tcW w:w="1295" w:type="dxa"/>
            <w:shd w:val="clear" w:color="auto" w:fill="DEEAF6" w:themeFill="accent5" w:themeFillTint="33"/>
            <w:noWrap/>
            <w:hideMark/>
          </w:tcPr>
          <w:p w14:paraId="3F220F68" w14:textId="1081AF42"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2.16%</w:t>
            </w:r>
          </w:p>
        </w:tc>
        <w:tc>
          <w:tcPr>
            <w:tcW w:w="1257" w:type="dxa"/>
            <w:shd w:val="clear" w:color="auto" w:fill="DEEAF6" w:themeFill="accent5" w:themeFillTint="33"/>
            <w:noWrap/>
            <w:hideMark/>
          </w:tcPr>
          <w:p w14:paraId="18B5D9C8" w14:textId="11AB76DA"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1.07%</w:t>
            </w:r>
          </w:p>
        </w:tc>
        <w:tc>
          <w:tcPr>
            <w:tcW w:w="1257" w:type="dxa"/>
            <w:shd w:val="clear" w:color="auto" w:fill="DEEAF6" w:themeFill="accent5" w:themeFillTint="33"/>
          </w:tcPr>
          <w:p w14:paraId="3AB0D376" w14:textId="79FB36D3" w:rsidR="00D05833" w:rsidRPr="00D05833" w:rsidRDefault="00D05833" w:rsidP="00D05833">
            <w:pPr>
              <w:pStyle w:val="ListParagraph"/>
              <w:spacing w:line="276" w:lineRule="auto"/>
              <w:ind w:left="360"/>
              <w:rPr>
                <w:rFonts w:ascii="Arial" w:hAnsi="Arial" w:cs="Arial"/>
                <w:sz w:val="24"/>
              </w:rPr>
            </w:pPr>
            <w:r w:rsidRPr="00D05833">
              <w:rPr>
                <w:rFonts w:ascii="Arial" w:hAnsi="Arial" w:cs="Arial"/>
              </w:rPr>
              <w:t>2.43%</w:t>
            </w:r>
          </w:p>
        </w:tc>
      </w:tr>
    </w:tbl>
    <w:p w14:paraId="197FA444" w14:textId="77777777" w:rsidR="00A001EA" w:rsidRDefault="00A001EA" w:rsidP="00A001EA">
      <w:pPr>
        <w:spacing w:line="276" w:lineRule="auto"/>
        <w:rPr>
          <w:rFonts w:ascii="Arial" w:hAnsi="Arial" w:cs="Arial"/>
          <w:sz w:val="24"/>
        </w:rPr>
      </w:pPr>
    </w:p>
    <w:p w14:paraId="65865A04" w14:textId="3CB1FB35" w:rsidR="00412CA8" w:rsidRPr="00A001EA" w:rsidRDefault="00F97FEA" w:rsidP="00A001EA">
      <w:pPr>
        <w:pStyle w:val="ListParagraph"/>
        <w:numPr>
          <w:ilvl w:val="0"/>
          <w:numId w:val="6"/>
        </w:numPr>
        <w:spacing w:line="276" w:lineRule="auto"/>
        <w:rPr>
          <w:rFonts w:ascii="Arial" w:hAnsi="Arial" w:cs="Arial"/>
          <w:sz w:val="24"/>
        </w:rPr>
      </w:pPr>
      <w:r w:rsidRPr="00A001EA">
        <w:rPr>
          <w:rFonts w:ascii="Arial" w:hAnsi="Arial" w:cs="Arial"/>
          <w:sz w:val="24"/>
        </w:rPr>
        <w:t xml:space="preserve">The two most notable differences are: </w:t>
      </w:r>
    </w:p>
    <w:p w14:paraId="38417DB1" w14:textId="7CF0E3F2" w:rsidR="00F97FEA" w:rsidRPr="00BD6196" w:rsidRDefault="00D702A5" w:rsidP="00BD6196">
      <w:pPr>
        <w:pStyle w:val="ListParagraph"/>
        <w:numPr>
          <w:ilvl w:val="0"/>
          <w:numId w:val="8"/>
        </w:numPr>
        <w:spacing w:line="276" w:lineRule="auto"/>
        <w:rPr>
          <w:rFonts w:ascii="Arial" w:hAnsi="Arial" w:cs="Arial"/>
          <w:sz w:val="24"/>
        </w:rPr>
      </w:pPr>
      <w:r>
        <w:rPr>
          <w:rFonts w:ascii="Arial" w:hAnsi="Arial" w:cs="Arial"/>
          <w:b/>
          <w:sz w:val="24"/>
        </w:rPr>
        <w:t>NHS Provider pay</w:t>
      </w:r>
      <w:r w:rsidR="00F97FEA" w:rsidRPr="00BD6196">
        <w:rPr>
          <w:rFonts w:ascii="Arial" w:hAnsi="Arial" w:cs="Arial"/>
          <w:b/>
          <w:sz w:val="24"/>
        </w:rPr>
        <w:t xml:space="preserve"> index </w:t>
      </w:r>
      <w:r w:rsidR="004565A4" w:rsidRPr="00BD6196">
        <w:rPr>
          <w:rFonts w:ascii="Arial" w:hAnsi="Arial" w:cs="Arial"/>
          <w:b/>
          <w:sz w:val="24"/>
        </w:rPr>
        <w:t>is</w:t>
      </w:r>
      <w:r w:rsidR="00F97FEA" w:rsidRPr="00BD6196">
        <w:rPr>
          <w:rFonts w:ascii="Arial" w:hAnsi="Arial" w:cs="Arial"/>
          <w:b/>
          <w:sz w:val="24"/>
        </w:rPr>
        <w:t xml:space="preserve"> ~1% higher than the HCHS PCI Pay </w:t>
      </w:r>
      <w:r>
        <w:rPr>
          <w:rFonts w:ascii="Arial" w:hAnsi="Arial" w:cs="Arial"/>
          <w:b/>
          <w:sz w:val="24"/>
        </w:rPr>
        <w:t>index</w:t>
      </w:r>
      <w:r w:rsidR="00FA6E36" w:rsidRPr="00BD6196">
        <w:rPr>
          <w:rFonts w:ascii="Arial" w:hAnsi="Arial" w:cs="Arial"/>
          <w:b/>
          <w:sz w:val="24"/>
        </w:rPr>
        <w:t xml:space="preserve"> in 2016/17</w:t>
      </w:r>
      <w:r w:rsidR="00F97FEA" w:rsidRPr="00BD6196">
        <w:rPr>
          <w:rFonts w:ascii="Arial" w:hAnsi="Arial" w:cs="Arial"/>
          <w:b/>
          <w:sz w:val="24"/>
        </w:rPr>
        <w:t>:</w:t>
      </w:r>
      <w:r w:rsidR="00F97FEA" w:rsidRPr="00BD6196">
        <w:rPr>
          <w:rFonts w:ascii="Arial" w:hAnsi="Arial" w:cs="Arial"/>
          <w:sz w:val="24"/>
        </w:rPr>
        <w:t xml:space="preserve"> this is most likely due to </w:t>
      </w:r>
      <w:r w:rsidR="004565A4" w:rsidRPr="00BD6196">
        <w:rPr>
          <w:rFonts w:ascii="Arial" w:hAnsi="Arial" w:cs="Arial"/>
          <w:sz w:val="24"/>
        </w:rPr>
        <w:t>the 1.4%</w:t>
      </w:r>
      <w:r w:rsidR="00F97FEA" w:rsidRPr="00BD6196">
        <w:rPr>
          <w:rFonts w:ascii="Arial" w:hAnsi="Arial" w:cs="Arial"/>
          <w:sz w:val="24"/>
        </w:rPr>
        <w:t xml:space="preserve"> increas</w:t>
      </w:r>
      <w:r w:rsidR="004565A4" w:rsidRPr="00BD6196">
        <w:rPr>
          <w:rFonts w:ascii="Arial" w:hAnsi="Arial" w:cs="Arial"/>
          <w:sz w:val="24"/>
        </w:rPr>
        <w:t>e</w:t>
      </w:r>
      <w:r w:rsidR="00F97FEA" w:rsidRPr="00BD6196">
        <w:rPr>
          <w:rFonts w:ascii="Arial" w:hAnsi="Arial" w:cs="Arial"/>
          <w:sz w:val="24"/>
        </w:rPr>
        <w:t xml:space="preserve"> in national insurance contributions in 2016/17</w:t>
      </w:r>
      <w:r w:rsidR="004565A4" w:rsidRPr="00BD6196">
        <w:rPr>
          <w:rFonts w:ascii="Arial" w:hAnsi="Arial" w:cs="Arial"/>
          <w:sz w:val="24"/>
        </w:rPr>
        <w:t>,</w:t>
      </w:r>
      <w:r w:rsidR="00F97FEA" w:rsidRPr="00BD6196">
        <w:rPr>
          <w:rFonts w:ascii="Arial" w:hAnsi="Arial" w:cs="Arial"/>
          <w:sz w:val="24"/>
        </w:rPr>
        <w:t xml:space="preserve"> which is captured by the provider pay index and not by the HCHS PCI pay index. </w:t>
      </w:r>
    </w:p>
    <w:p w14:paraId="088A28F9" w14:textId="77777777" w:rsidR="004565A4" w:rsidRPr="00BD6196" w:rsidRDefault="004565A4" w:rsidP="00BD6196">
      <w:pPr>
        <w:pStyle w:val="ListParagraph"/>
        <w:spacing w:line="276" w:lineRule="auto"/>
        <w:ind w:left="1080"/>
        <w:rPr>
          <w:rFonts w:ascii="Arial" w:hAnsi="Arial" w:cs="Arial"/>
          <w:sz w:val="24"/>
        </w:rPr>
      </w:pPr>
    </w:p>
    <w:p w14:paraId="6B6CBD95" w14:textId="6824D006" w:rsidR="00412CA8" w:rsidRPr="00D702A5" w:rsidRDefault="00D702A5" w:rsidP="004D775B">
      <w:pPr>
        <w:pStyle w:val="ListParagraph"/>
        <w:numPr>
          <w:ilvl w:val="0"/>
          <w:numId w:val="8"/>
        </w:numPr>
        <w:tabs>
          <w:tab w:val="left" w:pos="825"/>
        </w:tabs>
        <w:spacing w:line="276" w:lineRule="auto"/>
        <w:rPr>
          <w:rFonts w:ascii="Arial" w:hAnsi="Arial" w:cs="Arial"/>
          <w:b/>
          <w:sz w:val="28"/>
        </w:rPr>
      </w:pPr>
      <w:r w:rsidRPr="00D702A5">
        <w:rPr>
          <w:rFonts w:ascii="Arial" w:hAnsi="Arial" w:cs="Arial"/>
          <w:b/>
          <w:sz w:val="24"/>
        </w:rPr>
        <w:t xml:space="preserve">NHS Provider non-pay </w:t>
      </w:r>
      <w:r w:rsidR="004565A4" w:rsidRPr="00D702A5">
        <w:rPr>
          <w:rFonts w:ascii="Arial" w:hAnsi="Arial" w:cs="Arial"/>
          <w:b/>
          <w:sz w:val="24"/>
        </w:rPr>
        <w:t xml:space="preserve">index is lower than the HCHS HSCI prices inflation: </w:t>
      </w:r>
      <w:r w:rsidR="004565A4" w:rsidRPr="00D702A5">
        <w:rPr>
          <w:rFonts w:ascii="Arial" w:hAnsi="Arial" w:cs="Arial"/>
          <w:sz w:val="24"/>
        </w:rPr>
        <w:t>this is most likely due to the HSCI having a high (~12%) inflation for medical services from supply chain data. We believe this was due to poor data quality of the supply chain data.</w:t>
      </w:r>
      <w:r w:rsidR="00C37B45" w:rsidRPr="00D702A5">
        <w:rPr>
          <w:rFonts w:ascii="Arial" w:hAnsi="Arial" w:cs="Arial"/>
          <w:sz w:val="24"/>
        </w:rPr>
        <w:tab/>
      </w:r>
    </w:p>
    <w:sectPr w:rsidR="00412CA8" w:rsidRPr="00D702A5" w:rsidSect="00C37B45">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23CA9" w14:textId="77777777" w:rsidR="001646A2" w:rsidRDefault="001646A2" w:rsidP="00C64876">
      <w:pPr>
        <w:spacing w:after="0" w:line="240" w:lineRule="auto"/>
      </w:pPr>
      <w:r>
        <w:separator/>
      </w:r>
    </w:p>
  </w:endnote>
  <w:endnote w:type="continuationSeparator" w:id="0">
    <w:p w14:paraId="5FDBB80E" w14:textId="77777777" w:rsidR="001646A2" w:rsidRDefault="001646A2" w:rsidP="00C6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710314"/>
      <w:docPartObj>
        <w:docPartGallery w:val="Page Numbers (Bottom of Page)"/>
        <w:docPartUnique/>
      </w:docPartObj>
    </w:sdtPr>
    <w:sdtEndPr>
      <w:rPr>
        <w:noProof/>
      </w:rPr>
    </w:sdtEndPr>
    <w:sdtContent>
      <w:p w14:paraId="528530B0" w14:textId="3AA3A04D" w:rsidR="001646A2" w:rsidRDefault="00164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69E4AD" w14:textId="77777777" w:rsidR="001646A2" w:rsidRDefault="0016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9428" w14:textId="77777777" w:rsidR="001646A2" w:rsidRDefault="001646A2" w:rsidP="00C64876">
      <w:pPr>
        <w:spacing w:after="0" w:line="240" w:lineRule="auto"/>
      </w:pPr>
      <w:r>
        <w:separator/>
      </w:r>
    </w:p>
  </w:footnote>
  <w:footnote w:type="continuationSeparator" w:id="0">
    <w:p w14:paraId="4058F884" w14:textId="77777777" w:rsidR="001646A2" w:rsidRDefault="001646A2" w:rsidP="00C64876">
      <w:pPr>
        <w:spacing w:after="0" w:line="240" w:lineRule="auto"/>
      </w:pPr>
      <w:r>
        <w:continuationSeparator/>
      </w:r>
    </w:p>
  </w:footnote>
  <w:footnote w:id="1">
    <w:p w14:paraId="29BB93B4" w14:textId="4EB4E46E" w:rsidR="001646A2" w:rsidRPr="00CC4FDF" w:rsidRDefault="001646A2">
      <w:pPr>
        <w:pStyle w:val="FootnoteText"/>
        <w:rPr>
          <w:rFonts w:ascii="Arial" w:hAnsi="Arial" w:cs="Arial"/>
          <w:sz w:val="18"/>
        </w:rPr>
      </w:pPr>
      <w:r w:rsidRPr="00CC4FDF">
        <w:rPr>
          <w:rStyle w:val="FootnoteReference"/>
          <w:rFonts w:ascii="Arial" w:hAnsi="Arial" w:cs="Arial"/>
          <w:sz w:val="18"/>
        </w:rPr>
        <w:footnoteRef/>
      </w:r>
      <w:r w:rsidRPr="00CC4FDF">
        <w:rPr>
          <w:rFonts w:ascii="Arial" w:hAnsi="Arial" w:cs="Arial"/>
          <w:sz w:val="18"/>
        </w:rPr>
        <w:t xml:space="preserve"> Where staff are put into buckets by pay band and staff group. The index in effect calculates how much the average wage would have increased between year n+1 and n if they had year n+1 distribution of staff.</w:t>
      </w:r>
    </w:p>
  </w:footnote>
  <w:footnote w:id="2">
    <w:p w14:paraId="3C44BF2D" w14:textId="4FEA91FB" w:rsidR="001646A2" w:rsidRPr="00F14C28" w:rsidRDefault="001646A2">
      <w:pPr>
        <w:pStyle w:val="FootnoteText"/>
        <w:rPr>
          <w:rFonts w:ascii="Arial" w:hAnsi="Arial" w:cs="Arial"/>
        </w:rPr>
      </w:pPr>
      <w:r w:rsidRPr="00F14C28">
        <w:rPr>
          <w:rStyle w:val="FootnoteReference"/>
          <w:rFonts w:ascii="Arial" w:hAnsi="Arial" w:cs="Arial"/>
        </w:rPr>
        <w:footnoteRef/>
      </w:r>
      <w:r w:rsidRPr="00F14C28">
        <w:rPr>
          <w:rFonts w:ascii="Arial" w:hAnsi="Arial" w:cs="Arial"/>
        </w:rPr>
        <w:t xml:space="preserve"> Para 1.12 in </w:t>
      </w:r>
      <w:hyperlink r:id="rId1" w:history="1">
        <w:r w:rsidRPr="00F14C28">
          <w:rPr>
            <w:rStyle w:val="Hyperlink"/>
            <w:rFonts w:ascii="Arial" w:hAnsi="Arial" w:cs="Arial"/>
          </w:rPr>
          <w:t>here</w:t>
        </w:r>
      </w:hyperlink>
    </w:p>
  </w:footnote>
  <w:footnote w:id="3">
    <w:p w14:paraId="530D39AF" w14:textId="70E072EB" w:rsidR="001646A2" w:rsidRPr="001646A2" w:rsidRDefault="001646A2">
      <w:pPr>
        <w:pStyle w:val="FootnoteText"/>
        <w:rPr>
          <w:rFonts w:ascii="Arial" w:hAnsi="Arial" w:cs="Arial"/>
        </w:rPr>
      </w:pPr>
      <w:r w:rsidRPr="001646A2">
        <w:rPr>
          <w:rStyle w:val="FootnoteReference"/>
          <w:rFonts w:ascii="Arial" w:hAnsi="Arial" w:cs="Arial"/>
        </w:rPr>
        <w:footnoteRef/>
      </w:r>
      <w:r w:rsidRPr="001646A2">
        <w:rPr>
          <w:rFonts w:ascii="Arial" w:hAnsi="Arial" w:cs="Arial"/>
        </w:rPr>
        <w:t xml:space="preserve"> Formula </w:t>
      </w:r>
      <w:hyperlink r:id="rId2" w:history="1">
        <w:r w:rsidRPr="001646A2">
          <w:rPr>
            <w:rStyle w:val="Hyperlink"/>
            <w:rFonts w:ascii="Arial" w:hAnsi="Arial" w:cs="Arial"/>
          </w:rPr>
          <w:t>here</w:t>
        </w:r>
      </w:hyperlink>
      <w:r w:rsidRPr="001646A2">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D7661"/>
    <w:multiLevelType w:val="hybridMultilevel"/>
    <w:tmpl w:val="1542F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7F18A7"/>
    <w:multiLevelType w:val="hybridMultilevel"/>
    <w:tmpl w:val="E0FCA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9708BE"/>
    <w:multiLevelType w:val="hybridMultilevel"/>
    <w:tmpl w:val="D84C8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100513"/>
    <w:multiLevelType w:val="hybridMultilevel"/>
    <w:tmpl w:val="9190A30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62576E34"/>
    <w:multiLevelType w:val="hybridMultilevel"/>
    <w:tmpl w:val="3080F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A7286"/>
    <w:multiLevelType w:val="hybridMultilevel"/>
    <w:tmpl w:val="BBE26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B838EF"/>
    <w:multiLevelType w:val="hybridMultilevel"/>
    <w:tmpl w:val="EF0062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D1131C"/>
    <w:multiLevelType w:val="hybridMultilevel"/>
    <w:tmpl w:val="2F924452"/>
    <w:lvl w:ilvl="0" w:tplc="80CC874E">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0A151C"/>
    <w:multiLevelType w:val="hybridMultilevel"/>
    <w:tmpl w:val="C12E791A"/>
    <w:lvl w:ilvl="0" w:tplc="350C753C">
      <w:start w:val="1"/>
      <w:numFmt w:val="decimal"/>
      <w:lvlText w:val="%1."/>
      <w:lvlJc w:val="left"/>
      <w:pPr>
        <w:ind w:left="360" w:hanging="360"/>
      </w:pPr>
      <w:rPr>
        <w:rFonts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7E"/>
    <w:rsid w:val="00003872"/>
    <w:rsid w:val="00004FDC"/>
    <w:rsid w:val="000072A6"/>
    <w:rsid w:val="0001033B"/>
    <w:rsid w:val="000142A4"/>
    <w:rsid w:val="00027A75"/>
    <w:rsid w:val="00045915"/>
    <w:rsid w:val="000467F5"/>
    <w:rsid w:val="00057439"/>
    <w:rsid w:val="00061537"/>
    <w:rsid w:val="000903C6"/>
    <w:rsid w:val="000A0E08"/>
    <w:rsid w:val="000A4277"/>
    <w:rsid w:val="000A7E71"/>
    <w:rsid w:val="000C434D"/>
    <w:rsid w:val="000D031D"/>
    <w:rsid w:val="000D6840"/>
    <w:rsid w:val="000D7A7E"/>
    <w:rsid w:val="000F3CA7"/>
    <w:rsid w:val="0010710A"/>
    <w:rsid w:val="001076C3"/>
    <w:rsid w:val="001165CA"/>
    <w:rsid w:val="0012011D"/>
    <w:rsid w:val="00125989"/>
    <w:rsid w:val="00125BFF"/>
    <w:rsid w:val="00126EB2"/>
    <w:rsid w:val="0013595C"/>
    <w:rsid w:val="001639BD"/>
    <w:rsid w:val="001646A2"/>
    <w:rsid w:val="0018070C"/>
    <w:rsid w:val="00187CD3"/>
    <w:rsid w:val="001B1093"/>
    <w:rsid w:val="001C1F4D"/>
    <w:rsid w:val="001C2AE8"/>
    <w:rsid w:val="001D08B7"/>
    <w:rsid w:val="001E1EF8"/>
    <w:rsid w:val="00217C96"/>
    <w:rsid w:val="00222C61"/>
    <w:rsid w:val="0023493B"/>
    <w:rsid w:val="00235EE6"/>
    <w:rsid w:val="00281B50"/>
    <w:rsid w:val="00285A59"/>
    <w:rsid w:val="00285FF0"/>
    <w:rsid w:val="00294EA5"/>
    <w:rsid w:val="00297477"/>
    <w:rsid w:val="002A1825"/>
    <w:rsid w:val="002A2D41"/>
    <w:rsid w:val="002C19FF"/>
    <w:rsid w:val="002C35BE"/>
    <w:rsid w:val="002C6D6C"/>
    <w:rsid w:val="002E68EF"/>
    <w:rsid w:val="002F7543"/>
    <w:rsid w:val="00301968"/>
    <w:rsid w:val="003038FD"/>
    <w:rsid w:val="00307099"/>
    <w:rsid w:val="00330186"/>
    <w:rsid w:val="0034682E"/>
    <w:rsid w:val="00355728"/>
    <w:rsid w:val="0035611C"/>
    <w:rsid w:val="00365BF5"/>
    <w:rsid w:val="00370F42"/>
    <w:rsid w:val="00390334"/>
    <w:rsid w:val="00392632"/>
    <w:rsid w:val="0039326B"/>
    <w:rsid w:val="003C128E"/>
    <w:rsid w:val="003C3AE8"/>
    <w:rsid w:val="003D0EA3"/>
    <w:rsid w:val="003E65F0"/>
    <w:rsid w:val="003F31B8"/>
    <w:rsid w:val="003F60CE"/>
    <w:rsid w:val="0040163A"/>
    <w:rsid w:val="00405869"/>
    <w:rsid w:val="00412CA8"/>
    <w:rsid w:val="00416F0E"/>
    <w:rsid w:val="00423EAC"/>
    <w:rsid w:val="004366E1"/>
    <w:rsid w:val="00451BC7"/>
    <w:rsid w:val="004565A4"/>
    <w:rsid w:val="00467A5F"/>
    <w:rsid w:val="00473F9E"/>
    <w:rsid w:val="0049683D"/>
    <w:rsid w:val="00497B0B"/>
    <w:rsid w:val="004A33E4"/>
    <w:rsid w:val="004D775B"/>
    <w:rsid w:val="004E73E1"/>
    <w:rsid w:val="004F2158"/>
    <w:rsid w:val="004F4D38"/>
    <w:rsid w:val="004F5B48"/>
    <w:rsid w:val="0050412C"/>
    <w:rsid w:val="0050676B"/>
    <w:rsid w:val="005117BB"/>
    <w:rsid w:val="0053137E"/>
    <w:rsid w:val="005502AC"/>
    <w:rsid w:val="00575B20"/>
    <w:rsid w:val="00587533"/>
    <w:rsid w:val="005A0868"/>
    <w:rsid w:val="005A1A7B"/>
    <w:rsid w:val="005A6E11"/>
    <w:rsid w:val="005A75A1"/>
    <w:rsid w:val="005B78CD"/>
    <w:rsid w:val="005C693F"/>
    <w:rsid w:val="005F5D11"/>
    <w:rsid w:val="005F610B"/>
    <w:rsid w:val="006029A0"/>
    <w:rsid w:val="00625DF5"/>
    <w:rsid w:val="00642B68"/>
    <w:rsid w:val="00652FBD"/>
    <w:rsid w:val="00655F9A"/>
    <w:rsid w:val="00684F65"/>
    <w:rsid w:val="006A1657"/>
    <w:rsid w:val="006B64DA"/>
    <w:rsid w:val="006F7B42"/>
    <w:rsid w:val="00701765"/>
    <w:rsid w:val="00715E9E"/>
    <w:rsid w:val="007203DF"/>
    <w:rsid w:val="007242AA"/>
    <w:rsid w:val="00740795"/>
    <w:rsid w:val="00741C74"/>
    <w:rsid w:val="007428A5"/>
    <w:rsid w:val="00744A0C"/>
    <w:rsid w:val="00751B9E"/>
    <w:rsid w:val="00755EAA"/>
    <w:rsid w:val="00757DBA"/>
    <w:rsid w:val="00763FD9"/>
    <w:rsid w:val="00774C6B"/>
    <w:rsid w:val="00782798"/>
    <w:rsid w:val="00790564"/>
    <w:rsid w:val="007A4B4D"/>
    <w:rsid w:val="007A608D"/>
    <w:rsid w:val="007A7871"/>
    <w:rsid w:val="007C45F0"/>
    <w:rsid w:val="007D4C25"/>
    <w:rsid w:val="007E62E9"/>
    <w:rsid w:val="007E7C9F"/>
    <w:rsid w:val="007F1F54"/>
    <w:rsid w:val="008043D6"/>
    <w:rsid w:val="00814861"/>
    <w:rsid w:val="0081494E"/>
    <w:rsid w:val="00840765"/>
    <w:rsid w:val="00845977"/>
    <w:rsid w:val="00853EC8"/>
    <w:rsid w:val="00861CEE"/>
    <w:rsid w:val="0087651F"/>
    <w:rsid w:val="0088429A"/>
    <w:rsid w:val="008842B4"/>
    <w:rsid w:val="008858D2"/>
    <w:rsid w:val="00891322"/>
    <w:rsid w:val="008A0532"/>
    <w:rsid w:val="008A1D58"/>
    <w:rsid w:val="008A43E6"/>
    <w:rsid w:val="008B6148"/>
    <w:rsid w:val="008D1FF1"/>
    <w:rsid w:val="008D6695"/>
    <w:rsid w:val="008E59F2"/>
    <w:rsid w:val="008F1847"/>
    <w:rsid w:val="00904112"/>
    <w:rsid w:val="009161BA"/>
    <w:rsid w:val="009269C2"/>
    <w:rsid w:val="0092721F"/>
    <w:rsid w:val="00936454"/>
    <w:rsid w:val="00944719"/>
    <w:rsid w:val="00972C8D"/>
    <w:rsid w:val="00982261"/>
    <w:rsid w:val="0098627A"/>
    <w:rsid w:val="009905AE"/>
    <w:rsid w:val="00997447"/>
    <w:rsid w:val="009D276B"/>
    <w:rsid w:val="00A001EA"/>
    <w:rsid w:val="00A042A8"/>
    <w:rsid w:val="00A21CC8"/>
    <w:rsid w:val="00A47B4B"/>
    <w:rsid w:val="00A54003"/>
    <w:rsid w:val="00A66C07"/>
    <w:rsid w:val="00A92BAB"/>
    <w:rsid w:val="00AA325E"/>
    <w:rsid w:val="00AB7C6F"/>
    <w:rsid w:val="00AC2871"/>
    <w:rsid w:val="00AF3069"/>
    <w:rsid w:val="00B34BEC"/>
    <w:rsid w:val="00B47CE9"/>
    <w:rsid w:val="00B62A5F"/>
    <w:rsid w:val="00B765A5"/>
    <w:rsid w:val="00B777CD"/>
    <w:rsid w:val="00B820B4"/>
    <w:rsid w:val="00B8746E"/>
    <w:rsid w:val="00BA3CA9"/>
    <w:rsid w:val="00BB75E6"/>
    <w:rsid w:val="00BD6196"/>
    <w:rsid w:val="00BE1200"/>
    <w:rsid w:val="00BE69FB"/>
    <w:rsid w:val="00BF744F"/>
    <w:rsid w:val="00C31AB9"/>
    <w:rsid w:val="00C36B34"/>
    <w:rsid w:val="00C37B45"/>
    <w:rsid w:val="00C64876"/>
    <w:rsid w:val="00C72A23"/>
    <w:rsid w:val="00C7390D"/>
    <w:rsid w:val="00C74E52"/>
    <w:rsid w:val="00C761DC"/>
    <w:rsid w:val="00C762BF"/>
    <w:rsid w:val="00C92E33"/>
    <w:rsid w:val="00C94210"/>
    <w:rsid w:val="00C96275"/>
    <w:rsid w:val="00C96D3F"/>
    <w:rsid w:val="00C96D6F"/>
    <w:rsid w:val="00CA27C9"/>
    <w:rsid w:val="00CA4239"/>
    <w:rsid w:val="00CB08AF"/>
    <w:rsid w:val="00CB58EB"/>
    <w:rsid w:val="00CC243A"/>
    <w:rsid w:val="00CC4FDF"/>
    <w:rsid w:val="00CC7D9E"/>
    <w:rsid w:val="00CD1DDB"/>
    <w:rsid w:val="00CD1EFF"/>
    <w:rsid w:val="00D02A97"/>
    <w:rsid w:val="00D04F73"/>
    <w:rsid w:val="00D05833"/>
    <w:rsid w:val="00D10050"/>
    <w:rsid w:val="00D1458E"/>
    <w:rsid w:val="00D21432"/>
    <w:rsid w:val="00D2508B"/>
    <w:rsid w:val="00D42EFB"/>
    <w:rsid w:val="00D56308"/>
    <w:rsid w:val="00D633E8"/>
    <w:rsid w:val="00D702A5"/>
    <w:rsid w:val="00D8149C"/>
    <w:rsid w:val="00D930EE"/>
    <w:rsid w:val="00D94DBD"/>
    <w:rsid w:val="00DA1478"/>
    <w:rsid w:val="00DB044A"/>
    <w:rsid w:val="00DB3D78"/>
    <w:rsid w:val="00DB5B0C"/>
    <w:rsid w:val="00DE4B42"/>
    <w:rsid w:val="00DE5209"/>
    <w:rsid w:val="00DF233E"/>
    <w:rsid w:val="00DF4EE1"/>
    <w:rsid w:val="00E15771"/>
    <w:rsid w:val="00E23C27"/>
    <w:rsid w:val="00E246EB"/>
    <w:rsid w:val="00E47499"/>
    <w:rsid w:val="00E50B89"/>
    <w:rsid w:val="00E564DE"/>
    <w:rsid w:val="00E651ED"/>
    <w:rsid w:val="00E666F0"/>
    <w:rsid w:val="00EC747E"/>
    <w:rsid w:val="00ED0738"/>
    <w:rsid w:val="00ED161F"/>
    <w:rsid w:val="00ED5BCA"/>
    <w:rsid w:val="00EE4736"/>
    <w:rsid w:val="00F077E3"/>
    <w:rsid w:val="00F14C28"/>
    <w:rsid w:val="00F177C7"/>
    <w:rsid w:val="00F22E58"/>
    <w:rsid w:val="00F23923"/>
    <w:rsid w:val="00F321B3"/>
    <w:rsid w:val="00F34563"/>
    <w:rsid w:val="00F37AED"/>
    <w:rsid w:val="00F6198A"/>
    <w:rsid w:val="00F62785"/>
    <w:rsid w:val="00F717FC"/>
    <w:rsid w:val="00F75870"/>
    <w:rsid w:val="00F82C68"/>
    <w:rsid w:val="00F97FEA"/>
    <w:rsid w:val="00FA0F21"/>
    <w:rsid w:val="00FA2575"/>
    <w:rsid w:val="00FA6E36"/>
    <w:rsid w:val="00FB7A9A"/>
    <w:rsid w:val="00FC37A9"/>
    <w:rsid w:val="00FC400A"/>
    <w:rsid w:val="00FC5F7D"/>
    <w:rsid w:val="00FD49F4"/>
    <w:rsid w:val="00FD4BEB"/>
    <w:rsid w:val="00FF7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8A5C"/>
  <w15:chartTrackingRefBased/>
  <w15:docId w15:val="{C0235C71-75CE-43BF-A5EC-4FA2BB33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412"/>
    <w:pPr>
      <w:ind w:left="720"/>
      <w:contextualSpacing/>
    </w:pPr>
  </w:style>
  <w:style w:type="paragraph" w:styleId="Header">
    <w:name w:val="header"/>
    <w:basedOn w:val="Normal"/>
    <w:link w:val="HeaderChar"/>
    <w:uiPriority w:val="99"/>
    <w:unhideWhenUsed/>
    <w:rsid w:val="00C64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876"/>
  </w:style>
  <w:style w:type="paragraph" w:styleId="Footer">
    <w:name w:val="footer"/>
    <w:basedOn w:val="Normal"/>
    <w:link w:val="FooterChar"/>
    <w:uiPriority w:val="99"/>
    <w:unhideWhenUsed/>
    <w:rsid w:val="00C64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876"/>
  </w:style>
  <w:style w:type="table" w:styleId="TableGrid">
    <w:name w:val="Table Grid"/>
    <w:basedOn w:val="TableNormal"/>
    <w:uiPriority w:val="39"/>
    <w:rsid w:val="000A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0A7E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uiPriority w:val="99"/>
    <w:semiHidden/>
    <w:unhideWhenUsed/>
    <w:rsid w:val="00506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676B"/>
    <w:rPr>
      <w:sz w:val="20"/>
      <w:szCs w:val="20"/>
    </w:rPr>
  </w:style>
  <w:style w:type="character" w:styleId="FootnoteReference">
    <w:name w:val="footnote reference"/>
    <w:basedOn w:val="DefaultParagraphFont"/>
    <w:uiPriority w:val="99"/>
    <w:semiHidden/>
    <w:unhideWhenUsed/>
    <w:rsid w:val="0050676B"/>
    <w:rPr>
      <w:vertAlign w:val="superscript"/>
    </w:rPr>
  </w:style>
  <w:style w:type="character" w:styleId="Hyperlink">
    <w:name w:val="Hyperlink"/>
    <w:basedOn w:val="DefaultParagraphFont"/>
    <w:uiPriority w:val="99"/>
    <w:unhideWhenUsed/>
    <w:rsid w:val="00840765"/>
    <w:rPr>
      <w:color w:val="0563C1" w:themeColor="hyperlink"/>
      <w:u w:val="single"/>
    </w:rPr>
  </w:style>
  <w:style w:type="character" w:styleId="UnresolvedMention">
    <w:name w:val="Unresolved Mention"/>
    <w:basedOn w:val="DefaultParagraphFont"/>
    <w:uiPriority w:val="99"/>
    <w:semiHidden/>
    <w:unhideWhenUsed/>
    <w:rsid w:val="00840765"/>
    <w:rPr>
      <w:color w:val="605E5C"/>
      <w:shd w:val="clear" w:color="auto" w:fill="E1DFDD"/>
    </w:rPr>
  </w:style>
  <w:style w:type="table" w:styleId="GridTable4-Accent1">
    <w:name w:val="Grid Table 4 Accent 1"/>
    <w:basedOn w:val="TableNormal"/>
    <w:uiPriority w:val="49"/>
    <w:rsid w:val="00BF744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5">
    <w:name w:val="Grid Table 3 Accent 5"/>
    <w:basedOn w:val="TableNormal"/>
    <w:uiPriority w:val="48"/>
    <w:rsid w:val="00BD619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8487">
      <w:bodyDiv w:val="1"/>
      <w:marLeft w:val="0"/>
      <w:marRight w:val="0"/>
      <w:marTop w:val="0"/>
      <w:marBottom w:val="0"/>
      <w:divBdr>
        <w:top w:val="none" w:sz="0" w:space="0" w:color="auto"/>
        <w:left w:val="none" w:sz="0" w:space="0" w:color="auto"/>
        <w:bottom w:val="none" w:sz="0" w:space="0" w:color="auto"/>
        <w:right w:val="none" w:sz="0" w:space="0" w:color="auto"/>
      </w:divBdr>
    </w:div>
    <w:div w:id="138310484">
      <w:bodyDiv w:val="1"/>
      <w:marLeft w:val="0"/>
      <w:marRight w:val="0"/>
      <w:marTop w:val="0"/>
      <w:marBottom w:val="0"/>
      <w:divBdr>
        <w:top w:val="none" w:sz="0" w:space="0" w:color="auto"/>
        <w:left w:val="none" w:sz="0" w:space="0" w:color="auto"/>
        <w:bottom w:val="none" w:sz="0" w:space="0" w:color="auto"/>
        <w:right w:val="none" w:sz="0" w:space="0" w:color="auto"/>
      </w:divBdr>
    </w:div>
    <w:div w:id="438526468">
      <w:bodyDiv w:val="1"/>
      <w:marLeft w:val="0"/>
      <w:marRight w:val="0"/>
      <w:marTop w:val="0"/>
      <w:marBottom w:val="0"/>
      <w:divBdr>
        <w:top w:val="none" w:sz="0" w:space="0" w:color="auto"/>
        <w:left w:val="none" w:sz="0" w:space="0" w:color="auto"/>
        <w:bottom w:val="none" w:sz="0" w:space="0" w:color="auto"/>
        <w:right w:val="none" w:sz="0" w:space="0" w:color="auto"/>
      </w:divBdr>
    </w:div>
    <w:div w:id="609165467">
      <w:bodyDiv w:val="1"/>
      <w:marLeft w:val="0"/>
      <w:marRight w:val="0"/>
      <w:marTop w:val="0"/>
      <w:marBottom w:val="0"/>
      <w:divBdr>
        <w:top w:val="none" w:sz="0" w:space="0" w:color="auto"/>
        <w:left w:val="none" w:sz="0" w:space="0" w:color="auto"/>
        <w:bottom w:val="none" w:sz="0" w:space="0" w:color="auto"/>
        <w:right w:val="none" w:sz="0" w:space="0" w:color="auto"/>
      </w:divBdr>
    </w:div>
    <w:div w:id="640575631">
      <w:bodyDiv w:val="1"/>
      <w:marLeft w:val="0"/>
      <w:marRight w:val="0"/>
      <w:marTop w:val="0"/>
      <w:marBottom w:val="0"/>
      <w:divBdr>
        <w:top w:val="none" w:sz="0" w:space="0" w:color="auto"/>
        <w:left w:val="none" w:sz="0" w:space="0" w:color="auto"/>
        <w:bottom w:val="none" w:sz="0" w:space="0" w:color="auto"/>
        <w:right w:val="none" w:sz="0" w:space="0" w:color="auto"/>
      </w:divBdr>
    </w:div>
    <w:div w:id="710764722">
      <w:bodyDiv w:val="1"/>
      <w:marLeft w:val="0"/>
      <w:marRight w:val="0"/>
      <w:marTop w:val="0"/>
      <w:marBottom w:val="0"/>
      <w:divBdr>
        <w:top w:val="none" w:sz="0" w:space="0" w:color="auto"/>
        <w:left w:val="none" w:sz="0" w:space="0" w:color="auto"/>
        <w:bottom w:val="none" w:sz="0" w:space="0" w:color="auto"/>
        <w:right w:val="none" w:sz="0" w:space="0" w:color="auto"/>
      </w:divBdr>
    </w:div>
    <w:div w:id="719473447">
      <w:bodyDiv w:val="1"/>
      <w:marLeft w:val="0"/>
      <w:marRight w:val="0"/>
      <w:marTop w:val="0"/>
      <w:marBottom w:val="0"/>
      <w:divBdr>
        <w:top w:val="none" w:sz="0" w:space="0" w:color="auto"/>
        <w:left w:val="none" w:sz="0" w:space="0" w:color="auto"/>
        <w:bottom w:val="none" w:sz="0" w:space="0" w:color="auto"/>
        <w:right w:val="none" w:sz="0" w:space="0" w:color="auto"/>
      </w:divBdr>
    </w:div>
    <w:div w:id="775253116">
      <w:bodyDiv w:val="1"/>
      <w:marLeft w:val="0"/>
      <w:marRight w:val="0"/>
      <w:marTop w:val="0"/>
      <w:marBottom w:val="0"/>
      <w:divBdr>
        <w:top w:val="none" w:sz="0" w:space="0" w:color="auto"/>
        <w:left w:val="none" w:sz="0" w:space="0" w:color="auto"/>
        <w:bottom w:val="none" w:sz="0" w:space="0" w:color="auto"/>
        <w:right w:val="none" w:sz="0" w:space="0" w:color="auto"/>
      </w:divBdr>
    </w:div>
    <w:div w:id="798649905">
      <w:bodyDiv w:val="1"/>
      <w:marLeft w:val="0"/>
      <w:marRight w:val="0"/>
      <w:marTop w:val="0"/>
      <w:marBottom w:val="0"/>
      <w:divBdr>
        <w:top w:val="none" w:sz="0" w:space="0" w:color="auto"/>
        <w:left w:val="none" w:sz="0" w:space="0" w:color="auto"/>
        <w:bottom w:val="none" w:sz="0" w:space="0" w:color="auto"/>
        <w:right w:val="none" w:sz="0" w:space="0" w:color="auto"/>
      </w:divBdr>
    </w:div>
    <w:div w:id="808475822">
      <w:bodyDiv w:val="1"/>
      <w:marLeft w:val="0"/>
      <w:marRight w:val="0"/>
      <w:marTop w:val="0"/>
      <w:marBottom w:val="0"/>
      <w:divBdr>
        <w:top w:val="none" w:sz="0" w:space="0" w:color="auto"/>
        <w:left w:val="none" w:sz="0" w:space="0" w:color="auto"/>
        <w:bottom w:val="none" w:sz="0" w:space="0" w:color="auto"/>
        <w:right w:val="none" w:sz="0" w:space="0" w:color="auto"/>
      </w:divBdr>
    </w:div>
    <w:div w:id="816384609">
      <w:bodyDiv w:val="1"/>
      <w:marLeft w:val="0"/>
      <w:marRight w:val="0"/>
      <w:marTop w:val="0"/>
      <w:marBottom w:val="0"/>
      <w:divBdr>
        <w:top w:val="none" w:sz="0" w:space="0" w:color="auto"/>
        <w:left w:val="none" w:sz="0" w:space="0" w:color="auto"/>
        <w:bottom w:val="none" w:sz="0" w:space="0" w:color="auto"/>
        <w:right w:val="none" w:sz="0" w:space="0" w:color="auto"/>
      </w:divBdr>
    </w:div>
    <w:div w:id="820659836">
      <w:bodyDiv w:val="1"/>
      <w:marLeft w:val="0"/>
      <w:marRight w:val="0"/>
      <w:marTop w:val="0"/>
      <w:marBottom w:val="0"/>
      <w:divBdr>
        <w:top w:val="none" w:sz="0" w:space="0" w:color="auto"/>
        <w:left w:val="none" w:sz="0" w:space="0" w:color="auto"/>
        <w:bottom w:val="none" w:sz="0" w:space="0" w:color="auto"/>
        <w:right w:val="none" w:sz="0" w:space="0" w:color="auto"/>
      </w:divBdr>
    </w:div>
    <w:div w:id="989476501">
      <w:bodyDiv w:val="1"/>
      <w:marLeft w:val="0"/>
      <w:marRight w:val="0"/>
      <w:marTop w:val="0"/>
      <w:marBottom w:val="0"/>
      <w:divBdr>
        <w:top w:val="none" w:sz="0" w:space="0" w:color="auto"/>
        <w:left w:val="none" w:sz="0" w:space="0" w:color="auto"/>
        <w:bottom w:val="none" w:sz="0" w:space="0" w:color="auto"/>
        <w:right w:val="none" w:sz="0" w:space="0" w:color="auto"/>
      </w:divBdr>
    </w:div>
    <w:div w:id="998965546">
      <w:bodyDiv w:val="1"/>
      <w:marLeft w:val="0"/>
      <w:marRight w:val="0"/>
      <w:marTop w:val="0"/>
      <w:marBottom w:val="0"/>
      <w:divBdr>
        <w:top w:val="none" w:sz="0" w:space="0" w:color="auto"/>
        <w:left w:val="none" w:sz="0" w:space="0" w:color="auto"/>
        <w:bottom w:val="none" w:sz="0" w:space="0" w:color="auto"/>
        <w:right w:val="none" w:sz="0" w:space="0" w:color="auto"/>
      </w:divBdr>
    </w:div>
    <w:div w:id="1043285682">
      <w:bodyDiv w:val="1"/>
      <w:marLeft w:val="0"/>
      <w:marRight w:val="0"/>
      <w:marTop w:val="0"/>
      <w:marBottom w:val="0"/>
      <w:divBdr>
        <w:top w:val="none" w:sz="0" w:space="0" w:color="auto"/>
        <w:left w:val="none" w:sz="0" w:space="0" w:color="auto"/>
        <w:bottom w:val="none" w:sz="0" w:space="0" w:color="auto"/>
        <w:right w:val="none" w:sz="0" w:space="0" w:color="auto"/>
      </w:divBdr>
    </w:div>
    <w:div w:id="1064329424">
      <w:bodyDiv w:val="1"/>
      <w:marLeft w:val="0"/>
      <w:marRight w:val="0"/>
      <w:marTop w:val="0"/>
      <w:marBottom w:val="0"/>
      <w:divBdr>
        <w:top w:val="none" w:sz="0" w:space="0" w:color="auto"/>
        <w:left w:val="none" w:sz="0" w:space="0" w:color="auto"/>
        <w:bottom w:val="none" w:sz="0" w:space="0" w:color="auto"/>
        <w:right w:val="none" w:sz="0" w:space="0" w:color="auto"/>
      </w:divBdr>
    </w:div>
    <w:div w:id="1082988805">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35635679">
      <w:bodyDiv w:val="1"/>
      <w:marLeft w:val="0"/>
      <w:marRight w:val="0"/>
      <w:marTop w:val="0"/>
      <w:marBottom w:val="0"/>
      <w:divBdr>
        <w:top w:val="none" w:sz="0" w:space="0" w:color="auto"/>
        <w:left w:val="none" w:sz="0" w:space="0" w:color="auto"/>
        <w:bottom w:val="none" w:sz="0" w:space="0" w:color="auto"/>
        <w:right w:val="none" w:sz="0" w:space="0" w:color="auto"/>
      </w:divBdr>
    </w:div>
    <w:div w:id="1194659457">
      <w:bodyDiv w:val="1"/>
      <w:marLeft w:val="0"/>
      <w:marRight w:val="0"/>
      <w:marTop w:val="0"/>
      <w:marBottom w:val="0"/>
      <w:divBdr>
        <w:top w:val="none" w:sz="0" w:space="0" w:color="auto"/>
        <w:left w:val="none" w:sz="0" w:space="0" w:color="auto"/>
        <w:bottom w:val="none" w:sz="0" w:space="0" w:color="auto"/>
        <w:right w:val="none" w:sz="0" w:space="0" w:color="auto"/>
      </w:divBdr>
    </w:div>
    <w:div w:id="1202745115">
      <w:bodyDiv w:val="1"/>
      <w:marLeft w:val="0"/>
      <w:marRight w:val="0"/>
      <w:marTop w:val="0"/>
      <w:marBottom w:val="0"/>
      <w:divBdr>
        <w:top w:val="none" w:sz="0" w:space="0" w:color="auto"/>
        <w:left w:val="none" w:sz="0" w:space="0" w:color="auto"/>
        <w:bottom w:val="none" w:sz="0" w:space="0" w:color="auto"/>
        <w:right w:val="none" w:sz="0" w:space="0" w:color="auto"/>
      </w:divBdr>
    </w:div>
    <w:div w:id="1212811709">
      <w:bodyDiv w:val="1"/>
      <w:marLeft w:val="0"/>
      <w:marRight w:val="0"/>
      <w:marTop w:val="0"/>
      <w:marBottom w:val="0"/>
      <w:divBdr>
        <w:top w:val="none" w:sz="0" w:space="0" w:color="auto"/>
        <w:left w:val="none" w:sz="0" w:space="0" w:color="auto"/>
        <w:bottom w:val="none" w:sz="0" w:space="0" w:color="auto"/>
        <w:right w:val="none" w:sz="0" w:space="0" w:color="auto"/>
      </w:divBdr>
    </w:div>
    <w:div w:id="1220509680">
      <w:bodyDiv w:val="1"/>
      <w:marLeft w:val="0"/>
      <w:marRight w:val="0"/>
      <w:marTop w:val="0"/>
      <w:marBottom w:val="0"/>
      <w:divBdr>
        <w:top w:val="none" w:sz="0" w:space="0" w:color="auto"/>
        <w:left w:val="none" w:sz="0" w:space="0" w:color="auto"/>
        <w:bottom w:val="none" w:sz="0" w:space="0" w:color="auto"/>
        <w:right w:val="none" w:sz="0" w:space="0" w:color="auto"/>
      </w:divBdr>
    </w:div>
    <w:div w:id="1276670159">
      <w:bodyDiv w:val="1"/>
      <w:marLeft w:val="0"/>
      <w:marRight w:val="0"/>
      <w:marTop w:val="0"/>
      <w:marBottom w:val="0"/>
      <w:divBdr>
        <w:top w:val="none" w:sz="0" w:space="0" w:color="auto"/>
        <w:left w:val="none" w:sz="0" w:space="0" w:color="auto"/>
        <w:bottom w:val="none" w:sz="0" w:space="0" w:color="auto"/>
        <w:right w:val="none" w:sz="0" w:space="0" w:color="auto"/>
      </w:divBdr>
    </w:div>
    <w:div w:id="1286889867">
      <w:bodyDiv w:val="1"/>
      <w:marLeft w:val="0"/>
      <w:marRight w:val="0"/>
      <w:marTop w:val="0"/>
      <w:marBottom w:val="0"/>
      <w:divBdr>
        <w:top w:val="none" w:sz="0" w:space="0" w:color="auto"/>
        <w:left w:val="none" w:sz="0" w:space="0" w:color="auto"/>
        <w:bottom w:val="none" w:sz="0" w:space="0" w:color="auto"/>
        <w:right w:val="none" w:sz="0" w:space="0" w:color="auto"/>
      </w:divBdr>
    </w:div>
    <w:div w:id="1390421928">
      <w:bodyDiv w:val="1"/>
      <w:marLeft w:val="0"/>
      <w:marRight w:val="0"/>
      <w:marTop w:val="0"/>
      <w:marBottom w:val="0"/>
      <w:divBdr>
        <w:top w:val="none" w:sz="0" w:space="0" w:color="auto"/>
        <w:left w:val="none" w:sz="0" w:space="0" w:color="auto"/>
        <w:bottom w:val="none" w:sz="0" w:space="0" w:color="auto"/>
        <w:right w:val="none" w:sz="0" w:space="0" w:color="auto"/>
      </w:divBdr>
    </w:div>
    <w:div w:id="1442141434">
      <w:bodyDiv w:val="1"/>
      <w:marLeft w:val="0"/>
      <w:marRight w:val="0"/>
      <w:marTop w:val="0"/>
      <w:marBottom w:val="0"/>
      <w:divBdr>
        <w:top w:val="none" w:sz="0" w:space="0" w:color="auto"/>
        <w:left w:val="none" w:sz="0" w:space="0" w:color="auto"/>
        <w:bottom w:val="none" w:sz="0" w:space="0" w:color="auto"/>
        <w:right w:val="none" w:sz="0" w:space="0" w:color="auto"/>
      </w:divBdr>
    </w:div>
    <w:div w:id="1488091780">
      <w:bodyDiv w:val="1"/>
      <w:marLeft w:val="0"/>
      <w:marRight w:val="0"/>
      <w:marTop w:val="0"/>
      <w:marBottom w:val="0"/>
      <w:divBdr>
        <w:top w:val="none" w:sz="0" w:space="0" w:color="auto"/>
        <w:left w:val="none" w:sz="0" w:space="0" w:color="auto"/>
        <w:bottom w:val="none" w:sz="0" w:space="0" w:color="auto"/>
        <w:right w:val="none" w:sz="0" w:space="0" w:color="auto"/>
      </w:divBdr>
    </w:div>
    <w:div w:id="1546795766">
      <w:bodyDiv w:val="1"/>
      <w:marLeft w:val="0"/>
      <w:marRight w:val="0"/>
      <w:marTop w:val="0"/>
      <w:marBottom w:val="0"/>
      <w:divBdr>
        <w:top w:val="none" w:sz="0" w:space="0" w:color="auto"/>
        <w:left w:val="none" w:sz="0" w:space="0" w:color="auto"/>
        <w:bottom w:val="none" w:sz="0" w:space="0" w:color="auto"/>
        <w:right w:val="none" w:sz="0" w:space="0" w:color="auto"/>
      </w:divBdr>
    </w:div>
    <w:div w:id="1591426566">
      <w:bodyDiv w:val="1"/>
      <w:marLeft w:val="0"/>
      <w:marRight w:val="0"/>
      <w:marTop w:val="0"/>
      <w:marBottom w:val="0"/>
      <w:divBdr>
        <w:top w:val="none" w:sz="0" w:space="0" w:color="auto"/>
        <w:left w:val="none" w:sz="0" w:space="0" w:color="auto"/>
        <w:bottom w:val="none" w:sz="0" w:space="0" w:color="auto"/>
        <w:right w:val="none" w:sz="0" w:space="0" w:color="auto"/>
      </w:divBdr>
    </w:div>
    <w:div w:id="1664510495">
      <w:bodyDiv w:val="1"/>
      <w:marLeft w:val="0"/>
      <w:marRight w:val="0"/>
      <w:marTop w:val="0"/>
      <w:marBottom w:val="0"/>
      <w:divBdr>
        <w:top w:val="none" w:sz="0" w:space="0" w:color="auto"/>
        <w:left w:val="none" w:sz="0" w:space="0" w:color="auto"/>
        <w:bottom w:val="none" w:sz="0" w:space="0" w:color="auto"/>
        <w:right w:val="none" w:sz="0" w:space="0" w:color="auto"/>
      </w:divBdr>
    </w:div>
    <w:div w:id="1814520922">
      <w:bodyDiv w:val="1"/>
      <w:marLeft w:val="0"/>
      <w:marRight w:val="0"/>
      <w:marTop w:val="0"/>
      <w:marBottom w:val="0"/>
      <w:divBdr>
        <w:top w:val="none" w:sz="0" w:space="0" w:color="auto"/>
        <w:left w:val="none" w:sz="0" w:space="0" w:color="auto"/>
        <w:bottom w:val="none" w:sz="0" w:space="0" w:color="auto"/>
        <w:right w:val="none" w:sz="0" w:space="0" w:color="auto"/>
      </w:divBdr>
    </w:div>
    <w:div w:id="1850630890">
      <w:bodyDiv w:val="1"/>
      <w:marLeft w:val="0"/>
      <w:marRight w:val="0"/>
      <w:marTop w:val="0"/>
      <w:marBottom w:val="0"/>
      <w:divBdr>
        <w:top w:val="none" w:sz="0" w:space="0" w:color="auto"/>
        <w:left w:val="none" w:sz="0" w:space="0" w:color="auto"/>
        <w:bottom w:val="none" w:sz="0" w:space="0" w:color="auto"/>
        <w:right w:val="none" w:sz="0" w:space="0" w:color="auto"/>
      </w:divBdr>
    </w:div>
    <w:div w:id="1942837066">
      <w:bodyDiv w:val="1"/>
      <w:marLeft w:val="0"/>
      <w:marRight w:val="0"/>
      <w:marTop w:val="0"/>
      <w:marBottom w:val="0"/>
      <w:divBdr>
        <w:top w:val="none" w:sz="0" w:space="0" w:color="auto"/>
        <w:left w:val="none" w:sz="0" w:space="0" w:color="auto"/>
        <w:bottom w:val="none" w:sz="0" w:space="0" w:color="auto"/>
        <w:right w:val="none" w:sz="0" w:space="0" w:color="auto"/>
      </w:divBdr>
    </w:div>
    <w:div w:id="2050303360">
      <w:bodyDiv w:val="1"/>
      <w:marLeft w:val="0"/>
      <w:marRight w:val="0"/>
      <w:marTop w:val="0"/>
      <w:marBottom w:val="0"/>
      <w:divBdr>
        <w:top w:val="none" w:sz="0" w:space="0" w:color="auto"/>
        <w:left w:val="none" w:sz="0" w:space="0" w:color="auto"/>
        <w:bottom w:val="none" w:sz="0" w:space="0" w:color="auto"/>
        <w:right w:val="none" w:sz="0" w:space="0" w:color="auto"/>
      </w:divBdr>
    </w:div>
    <w:div w:id="21261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mprovement.nhs.uk/documents/3018/Consolidated_provider_accounts_201718_web.pdf" TargetMode="External"/><Relationship Id="rId18" Type="http://schemas.openxmlformats.org/officeDocument/2006/relationships/hyperlink" Target="https://files.digital.nhs.uk/2F/7EB174/nhs-dent-stat-eng-17-18-anx3-wr.csv" TargetMode="External"/><Relationship Id="rId26" Type="http://schemas.openxmlformats.org/officeDocument/2006/relationships/hyperlink" Target="https://www.ons.gov.uk/businessindustryandtrade/constructionindustry/datasets/interimconstructionoutputpriceindices" TargetMode="External"/><Relationship Id="rId39" Type="http://schemas.openxmlformats.org/officeDocument/2006/relationships/hyperlink" Target="https://www.ons.gov.uk/businessindustryandtrade/constructionindustry/datasets/interimconstructionoutputpriceindices" TargetMode="External"/><Relationship Id="rId3" Type="http://schemas.openxmlformats.org/officeDocument/2006/relationships/customXml" Target="../customXml/item3.xml"/><Relationship Id="rId21" Type="http://schemas.openxmlformats.org/officeDocument/2006/relationships/hyperlink" Target="https://www.ons.gov.uk/economy/inflationandpriceindices/datasets/producerpriceindex" TargetMode="External"/><Relationship Id="rId34" Type="http://schemas.openxmlformats.org/officeDocument/2006/relationships/hyperlink" Target="https://www.ons.gov.uk/economy/inflationandpriceindices/timeseries/czbh/mm23"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igital.nhs.uk/data-and-information/publications/statistical/nhs-staff-earnings-estimates/december-2018-provisional-statistics" TargetMode="External"/><Relationship Id="rId25" Type="http://schemas.openxmlformats.org/officeDocument/2006/relationships/hyperlink" Target="https://www.ons.gov.uk/businessindustryandtrade/constructionindustry/datasets/interimconstructionoutputpriceindices" TargetMode="External"/><Relationship Id="rId33" Type="http://schemas.openxmlformats.org/officeDocument/2006/relationships/hyperlink" Target="https://www.ons.gov.uk/employmentandlabourmarket/peopleinwork/earningsandworkinghours/datasets/averageweeklyearningsbyindustryearn03" TargetMode="External"/><Relationship Id="rId38" Type="http://schemas.openxmlformats.org/officeDocument/2006/relationships/hyperlink" Target="https://www.ons.gov.uk/economy/inflationandpriceindices/datasets/consumerpriceinflation" TargetMode="External"/><Relationship Id="rId2" Type="http://schemas.openxmlformats.org/officeDocument/2006/relationships/customXml" Target="../customXml/item2.xml"/><Relationship Id="rId16" Type="http://schemas.openxmlformats.org/officeDocument/2006/relationships/hyperlink" Target="https://digital.nhs.uk/data-and-information/publications/statistical/gp-earnings-and-expenses-estimates/gp-earnings-and-expenses-time-series" TargetMode="External"/><Relationship Id="rId20" Type="http://schemas.openxmlformats.org/officeDocument/2006/relationships/hyperlink" Target="https://www.ons.gov.uk/economy/inflationandpriceindices/datasets/producerpriceindex" TargetMode="External"/><Relationship Id="rId29" Type="http://schemas.openxmlformats.org/officeDocument/2006/relationships/hyperlink" Target="https://www.ons.gov.uk/economy/inflationandpriceindices/datasets/producerpriceinde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ons.gov.uk/economy/inflationandpriceindices/datasets/consumerpriceinflation" TargetMode="External"/><Relationship Id="rId32" Type="http://schemas.openxmlformats.org/officeDocument/2006/relationships/hyperlink" Target="https://www.ons.gov.uk/economy/inflationandpriceindices/datasets/serviceproducerpriceindices" TargetMode="External"/><Relationship Id="rId37" Type="http://schemas.openxmlformats.org/officeDocument/2006/relationships/hyperlink" Target="https://www.ons.gov.uk/economy/inflationandpriceindices/datasets/serviceproducerpriceindices"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data-and-information/publications/statistical/healthcare-workforce-statistics/september-2018-experimental" TargetMode="External"/><Relationship Id="rId23" Type="http://schemas.openxmlformats.org/officeDocument/2006/relationships/hyperlink" Target="https://www.ons.gov.uk/economy/inflationandpriceindices/datasets/consumerpriceinflation" TargetMode="External"/><Relationship Id="rId28" Type="http://schemas.openxmlformats.org/officeDocument/2006/relationships/hyperlink" Target="https://www.ons.gov.uk/economy/inflationandpriceindices/datasets/producerpriceindex" TargetMode="External"/><Relationship Id="rId36" Type="http://schemas.openxmlformats.org/officeDocument/2006/relationships/hyperlink" Target="https://www.ons.gov.uk/economy/inflationandpriceindices/datasets/consumerpriceinflation" TargetMode="External"/><Relationship Id="rId10" Type="http://schemas.openxmlformats.org/officeDocument/2006/relationships/webSettings" Target="webSettings.xml"/><Relationship Id="rId19" Type="http://schemas.openxmlformats.org/officeDocument/2006/relationships/hyperlink" Target="https://files.digital.nhs.uk/C9/6F2A76/dent-earn-time-seri-data-eng-wal-06-07-16-17.xls" TargetMode="External"/><Relationship Id="rId31" Type="http://schemas.openxmlformats.org/officeDocument/2006/relationships/hyperlink" Target="https://www.ons.gov.uk/economy/inflationandpriceindices/datasets/serviceproducerpriceind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629984/DH_annual_accounts_2016_2017_web_version.pdf" TargetMode="External"/><Relationship Id="rId22" Type="http://schemas.openxmlformats.org/officeDocument/2006/relationships/hyperlink" Target="https://www.ons.gov.uk/economy/inflationandpriceindices/datasets/serviceproducerpriceindices" TargetMode="External"/><Relationship Id="rId27" Type="http://schemas.openxmlformats.org/officeDocument/2006/relationships/hyperlink" Target="https://www.ons.gov.uk/economy/inflationandpriceindices/datasets/serviceproducerpriceindices" TargetMode="External"/><Relationship Id="rId30" Type="http://schemas.openxmlformats.org/officeDocument/2006/relationships/hyperlink" Target="https://www.ons.gov.uk/economy/inflationandpriceindices/datasets/serviceproducerpriceindices" TargetMode="External"/><Relationship Id="rId35" Type="http://schemas.openxmlformats.org/officeDocument/2006/relationships/hyperlink" Target="https://www.ons.gov.uk/economy/inflationandpriceindices/datasets/serviceproducerpriceindi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utorialspoint.com/statistics/harmonic_mean.htm" TargetMode="External"/><Relationship Id="rId1" Type="http://schemas.openxmlformats.org/officeDocument/2006/relationships/hyperlink" Target="https://www.nao.org.uk/wp-content/uploads/2017/09/Managing-the-costs-of-clinical-negligence-in-tru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H Document" ma:contentTypeID="0x010100B9957A1BF2FBE8478EF96F1BD89AD4CA006FA759B0E3DD3D49B074DE09E38C64F8" ma:contentTypeVersion="67" ma:contentTypeDescription="DH specific document content type for use in File Plan" ma:contentTypeScope="" ma:versionID="d087106733042f8d1496068603d8cc97">
  <xsd:schema xmlns:xsd="http://www.w3.org/2001/XMLSchema" xmlns:xs="http://www.w3.org/2001/XMLSchema" xmlns:p="http://schemas.microsoft.com/office/2006/metadata/properties" xmlns:ns1="http://schemas.microsoft.com/sharepoint/v3" xmlns:ns2="1eee4ddb-a1f9-40b8-9282-d53ea582adeb" xmlns:ns4="http://schemas.microsoft.com/sharepoint/v4" targetNamespace="http://schemas.microsoft.com/office/2006/metadata/properties" ma:root="true" ma:fieldsID="8636d3865457fc738ba8f8b6acaa8a58" ns1:_="" ns2:_="" ns4: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AAFXSQ5MW4ZD-243-1269781</_dlc_DocId>
    <_dlc_DocIdUrl xmlns="1eee4ddb-a1f9-40b8-9282-d53ea582adeb">
      <Url>http://iws.ims.gov.uk/twa/sfnhs/gf/_layouts/DocIdRedir.aspx?ID=AAFXSQ5MW4ZD-243-1269781</Url>
      <Description>AAFXSQ5MW4ZD-243-1269781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137FD-8609-4DE0-AA8C-1E606EBE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E603C-E60C-492E-9911-6A003EFE0436}">
  <ds:schemaRefs>
    <ds:schemaRef ds:uri="http://schemas.microsoft.com/sharepoint/events"/>
  </ds:schemaRefs>
</ds:datastoreItem>
</file>

<file path=customXml/itemProps3.xml><?xml version="1.0" encoding="utf-8"?>
<ds:datastoreItem xmlns:ds="http://schemas.openxmlformats.org/officeDocument/2006/customXml" ds:itemID="{83465BA2-235D-4937-AD89-91011538DDF9}">
  <ds:schemaRefs>
    <ds:schemaRef ds:uri="http://schemas.microsoft.com/office/2006/metadata/customXsn"/>
  </ds:schemaRefs>
</ds:datastoreItem>
</file>

<file path=customXml/itemProps4.xml><?xml version="1.0" encoding="utf-8"?>
<ds:datastoreItem xmlns:ds="http://schemas.openxmlformats.org/officeDocument/2006/customXml" ds:itemID="{D1F4B7F5-C201-4888-B522-681CD099B134}">
  <ds:schemaRefs>
    <ds:schemaRef ds:uri="http://schemas.microsoft.com/sharepoint/v3/contenttype/forms"/>
  </ds:schemaRefs>
</ds:datastoreItem>
</file>

<file path=customXml/itemProps5.xml><?xml version="1.0" encoding="utf-8"?>
<ds:datastoreItem xmlns:ds="http://schemas.openxmlformats.org/officeDocument/2006/customXml" ds:itemID="{6B251DA0-B79D-49F5-8056-E6287F6DF8A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1eee4ddb-a1f9-40b8-9282-d53ea582adeb"/>
    <ds:schemaRef ds:uri="http://schemas.microsoft.com/sharepoint/v4"/>
    <ds:schemaRef ds:uri="http://www.w3.org/XML/1998/namespace"/>
    <ds:schemaRef ds:uri="http://purl.org/dc/elements/1.1/"/>
  </ds:schemaRefs>
</ds:datastoreItem>
</file>

<file path=customXml/itemProps6.xml><?xml version="1.0" encoding="utf-8"?>
<ds:datastoreItem xmlns:ds="http://schemas.openxmlformats.org/officeDocument/2006/customXml" ds:itemID="{AB4C869E-BFC0-4150-A443-640DFE76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16</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Zareen</dc:creator>
  <cp:keywords/>
  <dc:description/>
  <cp:lastModifiedBy>Khan, Zareen</cp:lastModifiedBy>
  <cp:revision>12</cp:revision>
  <dcterms:created xsi:type="dcterms:W3CDTF">2019-12-03T09:42:00Z</dcterms:created>
  <dcterms:modified xsi:type="dcterms:W3CDTF">2019-12-04T12:04:00Z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0x010100B9957A1BF2FBE8478EF96F1BD89AD4CA006FA759B0E3DD3D49B074DE09E38C64F8</vt:lpwstr>
  </property>
  <property fmtid="{D5CDD505-2E9C-101B-9397-08002B2CF9AE}" pid="3" name="_dlc_DocIdItemGuid">
    <vt:lpwstr>938198fa-973f-4e51-902b-05db0b5b63c5</vt:lpwstr>
  </property>
  <property fmtid="{D5CDD505-2E9C-101B-9397-08002B2CF9AE}" pid="4" name="InheritOnUpdate">
    <vt:lpwstr>true</vt:lpwstr>
  </property>
</Properties>
</file>